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C00" w:rsidRDefault="00347C00" w:rsidP="00347C00">
      <w:pPr>
        <w:pStyle w:val="Title"/>
      </w:pPr>
      <w:r>
        <w:t>Overview of the 201</w:t>
      </w:r>
      <w:r w:rsidR="001B7C4C">
        <w:t>7</w:t>
      </w:r>
      <w:r>
        <w:t xml:space="preserve"> QHP Application Review Tools</w:t>
      </w:r>
    </w:p>
    <w:p w:rsidR="00347C00" w:rsidRDefault="00347C00"/>
    <w:tbl>
      <w:tblPr>
        <w:tblStyle w:val="LightGrid-Accent1"/>
        <w:tblW w:w="13560" w:type="dxa"/>
        <w:tblLook w:val="04A0" w:firstRow="1" w:lastRow="0" w:firstColumn="1" w:lastColumn="0" w:noHBand="0" w:noVBand="1"/>
      </w:tblPr>
      <w:tblGrid>
        <w:gridCol w:w="2816"/>
        <w:gridCol w:w="6069"/>
        <w:gridCol w:w="4675"/>
      </w:tblGrid>
      <w:tr w:rsidR="00B04D33" w:rsidRPr="00B04D33" w:rsidTr="00B04D33">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t>Tool Title</w:t>
            </w:r>
          </w:p>
        </w:tc>
        <w:tc>
          <w:tcPr>
            <w:tcW w:w="6069" w:type="dxa"/>
            <w:hideMark/>
          </w:tcPr>
          <w:p w:rsidR="006913B8" w:rsidRPr="00B04D33" w:rsidRDefault="00B04D33" w:rsidP="00B04D33">
            <w:pPr>
              <w:spacing w:after="200" w:line="276" w:lineRule="auto"/>
              <w:cnfStyle w:val="100000000000" w:firstRow="1" w:lastRow="0" w:firstColumn="0" w:lastColumn="0" w:oddVBand="0" w:evenVBand="0" w:oddHBand="0" w:evenHBand="0" w:firstRowFirstColumn="0" w:firstRowLastColumn="0" w:lastRowFirstColumn="0" w:lastRowLastColumn="0"/>
            </w:pPr>
            <w:r w:rsidRPr="00B04D33">
              <w:t>Description</w:t>
            </w:r>
          </w:p>
        </w:tc>
        <w:tc>
          <w:tcPr>
            <w:tcW w:w="4675" w:type="dxa"/>
            <w:hideMark/>
          </w:tcPr>
          <w:p w:rsidR="006913B8" w:rsidRPr="00B04D33" w:rsidRDefault="00B04D33" w:rsidP="001B7C4C">
            <w:pPr>
              <w:spacing w:after="200" w:line="276" w:lineRule="auto"/>
              <w:cnfStyle w:val="100000000000" w:firstRow="1" w:lastRow="0" w:firstColumn="0" w:lastColumn="0" w:oddVBand="0" w:evenVBand="0" w:oddHBand="0" w:evenHBand="0" w:firstRowFirstColumn="0" w:firstRowLastColumn="0" w:lastRowFirstColumn="0" w:lastRowLastColumn="0"/>
            </w:pPr>
            <w:r w:rsidRPr="00B04D33">
              <w:t>Key Updates for 201</w:t>
            </w:r>
            <w:r w:rsidR="001B7C4C">
              <w:t>7</w:t>
            </w:r>
          </w:p>
        </w:tc>
      </w:tr>
      <w:tr w:rsidR="00B04D33" w:rsidRPr="00B04D33" w:rsidTr="00B04D33">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t>Data Integrity Tool</w:t>
            </w:r>
          </w:p>
        </w:tc>
        <w:tc>
          <w:tcPr>
            <w:tcW w:w="6069" w:type="dxa"/>
            <w:hideMark/>
          </w:tcPr>
          <w:p w:rsidR="006913B8" w:rsidRPr="00B04D33" w:rsidRDefault="00B04D33" w:rsidP="00B04D33">
            <w:pPr>
              <w:spacing w:after="200" w:line="276" w:lineRule="auto"/>
              <w:cnfStyle w:val="000000100000" w:firstRow="0" w:lastRow="0" w:firstColumn="0" w:lastColumn="0" w:oddVBand="0" w:evenVBand="0" w:oddHBand="1" w:evenHBand="0" w:firstRowFirstColumn="0" w:firstRowLastColumn="0" w:lastRowFirstColumn="0" w:lastRowLastColumn="0"/>
            </w:pPr>
            <w:r w:rsidRPr="00B04D33">
              <w:t>This tool identifies critical data errors within and across templates. Provides immediate feedback about data, reducing issuer resubmissions. Alerts issuers and state reviewers to irregularities in the template submissions. Imports QHP and SADP data from most application templates. Conducts validation checks beyond the standard HIOS and SERFF checks. Looks across templates for consistency in key fields. Produces error reports that describe the error and its location in the template.</w:t>
            </w:r>
          </w:p>
        </w:tc>
        <w:tc>
          <w:tcPr>
            <w:tcW w:w="4675" w:type="dxa"/>
            <w:hideMark/>
          </w:tcPr>
          <w:p w:rsidR="00B04D33" w:rsidRPr="00B04D33" w:rsidRDefault="00B04D33" w:rsidP="00A01A04">
            <w:pPr>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pPr>
            <w:r w:rsidRPr="00B04D33">
              <w:t>Accommodates new 201</w:t>
            </w:r>
            <w:r w:rsidR="001B7C4C">
              <w:t>7</w:t>
            </w:r>
            <w:r w:rsidRPr="00B04D33">
              <w:t xml:space="preserve"> data</w:t>
            </w:r>
          </w:p>
        </w:tc>
      </w:tr>
      <w:tr w:rsidR="00B04D33" w:rsidRPr="00B04D33" w:rsidTr="00B04D33">
        <w:trPr>
          <w:cnfStyle w:val="000000010000" w:firstRow="0" w:lastRow="0" w:firstColumn="0" w:lastColumn="0" w:oddVBand="0" w:evenVBand="0" w:oddHBand="0" w:evenHBand="1"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t>Plan ID Crosswalk Tool</w:t>
            </w:r>
          </w:p>
        </w:tc>
        <w:tc>
          <w:tcPr>
            <w:tcW w:w="6069" w:type="dxa"/>
            <w:hideMark/>
          </w:tcPr>
          <w:p w:rsidR="00B04D33" w:rsidRPr="00B04D33" w:rsidRDefault="001B470F" w:rsidP="001B7C4C">
            <w:pPr>
              <w:spacing w:after="200" w:line="276" w:lineRule="auto"/>
              <w:cnfStyle w:val="000000010000" w:firstRow="0" w:lastRow="0" w:firstColumn="0" w:lastColumn="0" w:oddVBand="0" w:evenVBand="0" w:oddHBand="0" w:evenHBand="1" w:firstRowFirstColumn="0" w:firstRowLastColumn="0" w:lastRowFirstColumn="0" w:lastRowLastColumn="0"/>
            </w:pPr>
            <w:r>
              <w:t>Checks that the Plan ID Crosswalk Template has been completed accurately, by ensuring that all counties in all FFM plans that were offered in 201</w:t>
            </w:r>
            <w:r w:rsidR="001B7C4C">
              <w:t>6</w:t>
            </w:r>
            <w:r>
              <w:t xml:space="preserve"> are included in the crosswalk, the plans are </w:t>
            </w:r>
            <w:proofErr w:type="spellStart"/>
            <w:r>
              <w:t>crosswalked</w:t>
            </w:r>
            <w:proofErr w:type="spellEnd"/>
            <w:r>
              <w:t xml:space="preserve"> to valid 201</w:t>
            </w:r>
            <w:r w:rsidR="001B7C4C">
              <w:t>7</w:t>
            </w:r>
            <w:r>
              <w:t xml:space="preserve"> plans, the crosswalk reasons selected are consistent</w:t>
            </w:r>
            <w:r w:rsidR="00B7344E">
              <w:t xml:space="preserve"> with plan offerings, and that the crosswalk is compliant with the regulation in 45 C.F.R. 155.335(j).</w:t>
            </w:r>
          </w:p>
        </w:tc>
        <w:tc>
          <w:tcPr>
            <w:tcW w:w="4675" w:type="dxa"/>
            <w:hideMark/>
          </w:tcPr>
          <w:p w:rsidR="00B04D33" w:rsidRDefault="001B7C4C" w:rsidP="001B7C4C">
            <w:pPr>
              <w:numPr>
                <w:ilvl w:val="0"/>
                <w:numId w:val="11"/>
              </w:numPr>
              <w:spacing w:after="200" w:line="276" w:lineRule="auto"/>
              <w:cnfStyle w:val="000000010000" w:firstRow="0" w:lastRow="0" w:firstColumn="0" w:lastColumn="0" w:oddVBand="0" w:evenVBand="0" w:oddHBand="0" w:evenHBand="1" w:firstRowFirstColumn="0" w:firstRowLastColumn="0" w:lastRowFirstColumn="0" w:lastRowLastColumn="0"/>
            </w:pPr>
            <w:r w:rsidRPr="00B04D33">
              <w:t>Accommodates new 201</w:t>
            </w:r>
            <w:r>
              <w:t>7</w:t>
            </w:r>
            <w:r w:rsidRPr="00B04D33">
              <w:t xml:space="preserve"> data</w:t>
            </w:r>
          </w:p>
          <w:p w:rsidR="001B7C4C" w:rsidRPr="00B04D33" w:rsidRDefault="001B7C4C" w:rsidP="001B7C4C">
            <w:pPr>
              <w:numPr>
                <w:ilvl w:val="0"/>
                <w:numId w:val="11"/>
              </w:numPr>
              <w:spacing w:after="200" w:line="276" w:lineRule="auto"/>
              <w:cnfStyle w:val="000000010000" w:firstRow="0" w:lastRow="0" w:firstColumn="0" w:lastColumn="0" w:oddVBand="0" w:evenVBand="0" w:oddHBand="0" w:evenHBand="1" w:firstRowFirstColumn="0" w:firstRowLastColumn="0" w:lastRowFirstColumn="0" w:lastRowLastColumn="0"/>
            </w:pPr>
            <w:r>
              <w:t xml:space="preserve">Includes check to ensure that 2016 silver plans are always </w:t>
            </w:r>
            <w:proofErr w:type="spellStart"/>
            <w:r>
              <w:t>crosswalked</w:t>
            </w:r>
            <w:proofErr w:type="spellEnd"/>
            <w:r>
              <w:t xml:space="preserve"> to a 2017 silver plan when available</w:t>
            </w:r>
          </w:p>
        </w:tc>
      </w:tr>
      <w:tr w:rsidR="00B04D33" w:rsidRPr="00B04D33" w:rsidTr="00B04D33">
        <w:trPr>
          <w:cnfStyle w:val="000000100000" w:firstRow="0" w:lastRow="0" w:firstColumn="0" w:lastColumn="0" w:oddVBand="0" w:evenVBand="0" w:oddHBand="1" w:evenHBand="0" w:firstRowFirstColumn="0" w:firstRowLastColumn="0" w:lastRowFirstColumn="0" w:lastRowLastColumn="0"/>
          <w:trHeight w:val="991"/>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t>Master Review Tool</w:t>
            </w:r>
          </w:p>
        </w:tc>
        <w:tc>
          <w:tcPr>
            <w:tcW w:w="6069" w:type="dxa"/>
            <w:hideMark/>
          </w:tcPr>
          <w:p w:rsidR="006913B8" w:rsidRPr="00B04D33" w:rsidRDefault="00B04D33" w:rsidP="00B04D33">
            <w:pPr>
              <w:spacing w:after="200" w:line="276" w:lineRule="auto"/>
              <w:cnfStyle w:val="000000100000" w:firstRow="0" w:lastRow="0" w:firstColumn="0" w:lastColumn="0" w:oddVBand="0" w:evenVBand="0" w:oddHBand="1" w:evenHBand="0" w:firstRowFirstColumn="0" w:firstRowLastColumn="0" w:lastRowFirstColumn="0" w:lastRowLastColumn="0"/>
            </w:pPr>
            <w:r w:rsidRPr="00B04D33">
              <w:t>Aggregates data from the Plans &amp; Benefits, Service Area, and Essential Community Provider (ECP)</w:t>
            </w:r>
            <w:r w:rsidR="001B7C4C">
              <w:t>/Network Adequacy (NA), and Prescription Drug</w:t>
            </w:r>
            <w:r w:rsidRPr="00B04D33">
              <w:t xml:space="preserve"> templates and serves as a data input file to the other stand-alone tools.</w:t>
            </w:r>
          </w:p>
        </w:tc>
        <w:tc>
          <w:tcPr>
            <w:tcW w:w="4675" w:type="dxa"/>
            <w:hideMark/>
          </w:tcPr>
          <w:p w:rsidR="006913B8" w:rsidRPr="00B04D33" w:rsidRDefault="00142AA4" w:rsidP="00B04D33">
            <w:pPr>
              <w:numPr>
                <w:ilvl w:val="0"/>
                <w:numId w:val="1"/>
              </w:numPr>
              <w:spacing w:after="200" w:line="276" w:lineRule="auto"/>
              <w:cnfStyle w:val="000000100000" w:firstRow="0" w:lastRow="0" w:firstColumn="0" w:lastColumn="0" w:oddVBand="0" w:evenVBand="0" w:oddHBand="1" w:evenHBand="0" w:firstRowFirstColumn="0" w:firstRowLastColumn="0" w:lastRowFirstColumn="0" w:lastRowLastColumn="0"/>
            </w:pPr>
            <w:r w:rsidRPr="00B04D33">
              <w:t>Accommodates new 201</w:t>
            </w:r>
            <w:r w:rsidR="00A32E3D">
              <w:t>7</w:t>
            </w:r>
            <w:r w:rsidRPr="00B04D33">
              <w:t xml:space="preserve"> data</w:t>
            </w:r>
          </w:p>
          <w:p w:rsidR="006913B8" w:rsidRDefault="001B7C4C" w:rsidP="001B7C4C">
            <w:pPr>
              <w:numPr>
                <w:ilvl w:val="0"/>
                <w:numId w:val="1"/>
              </w:numPr>
              <w:spacing w:after="200" w:line="276" w:lineRule="auto"/>
              <w:cnfStyle w:val="000000100000" w:firstRow="0" w:lastRow="0" w:firstColumn="0" w:lastColumn="0" w:oddVBand="0" w:evenVBand="0" w:oddHBand="1" w:evenHBand="0" w:firstRowFirstColumn="0" w:firstRowLastColumn="0" w:lastRowFirstColumn="0" w:lastRowLastColumn="0"/>
            </w:pPr>
            <w:r>
              <w:t>Added Silver/Gold check to ensure issuers offer at least one silver and one gold plan in every medical market covered</w:t>
            </w:r>
          </w:p>
          <w:p w:rsidR="001B7C4C" w:rsidRDefault="001B7C4C" w:rsidP="001B7C4C">
            <w:pPr>
              <w:numPr>
                <w:ilvl w:val="0"/>
                <w:numId w:val="1"/>
              </w:numPr>
              <w:spacing w:after="200" w:line="276" w:lineRule="auto"/>
              <w:cnfStyle w:val="000000100000" w:firstRow="0" w:lastRow="0" w:firstColumn="0" w:lastColumn="0" w:oddVBand="0" w:evenVBand="0" w:oddHBand="1" w:evenHBand="0" w:firstRowFirstColumn="0" w:firstRowLastColumn="0" w:lastRowFirstColumn="0" w:lastRowLastColumn="0"/>
            </w:pPr>
            <w:r>
              <w:lastRenderedPageBreak/>
              <w:t>Imports Prescription drug data</w:t>
            </w:r>
          </w:p>
          <w:p w:rsidR="001B7C4C" w:rsidRPr="00B04D33" w:rsidRDefault="001B7C4C" w:rsidP="001B7C4C">
            <w:pPr>
              <w:numPr>
                <w:ilvl w:val="0"/>
                <w:numId w:val="1"/>
              </w:numPr>
              <w:spacing w:after="200" w:line="276" w:lineRule="auto"/>
              <w:cnfStyle w:val="000000100000" w:firstRow="0" w:lastRow="0" w:firstColumn="0" w:lastColumn="0" w:oddVBand="0" w:evenVBand="0" w:oddHBand="1" w:evenHBand="0" w:firstRowFirstColumn="0" w:firstRowLastColumn="0" w:lastRowFirstColumn="0" w:lastRowLastColumn="0"/>
            </w:pPr>
            <w:r>
              <w:t>Imports ECP data from new ECP/NA template</w:t>
            </w:r>
          </w:p>
        </w:tc>
      </w:tr>
      <w:tr w:rsidR="00B04D33" w:rsidRPr="00B04D33" w:rsidTr="00B04D33">
        <w:trPr>
          <w:cnfStyle w:val="000000010000" w:firstRow="0" w:lastRow="0" w:firstColumn="0" w:lastColumn="0" w:oddVBand="0" w:evenVBand="0" w:oddHBand="0" w:evenHBand="1" w:firstRowFirstColumn="0" w:firstRowLastColumn="0" w:lastRowFirstColumn="0" w:lastRowLastColumn="0"/>
          <w:trHeight w:val="2054"/>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lastRenderedPageBreak/>
              <w:t>Essential Community Providers (ECP) Tool</w:t>
            </w:r>
          </w:p>
        </w:tc>
        <w:tc>
          <w:tcPr>
            <w:tcW w:w="6069" w:type="dxa"/>
            <w:hideMark/>
          </w:tcPr>
          <w:p w:rsidR="006913B8" w:rsidRPr="00B04D33" w:rsidRDefault="00B04D33" w:rsidP="00B04D33">
            <w:pPr>
              <w:spacing w:after="200" w:line="276" w:lineRule="auto"/>
              <w:cnfStyle w:val="000000010000" w:firstRow="0" w:lastRow="0" w:firstColumn="0" w:lastColumn="0" w:oddVBand="0" w:evenVBand="0" w:oddHBand="0" w:evenHBand="1" w:firstRowFirstColumn="0" w:firstRowLastColumn="0" w:lastRowFirstColumn="0" w:lastRowLastColumn="0"/>
            </w:pPr>
            <w:r w:rsidRPr="00B04D33">
              <w:t>Calculates the total number of ECPs an issuer has in each plan's network and compares this to the number of available ECPs in that service area. This tool will check whether the percentage of the plan's networked ECPs is equal to or greater than the ECP threshold (as defined by federal or state regulators) to demonstrate satisfaction of the ECP inclusion standard set forth in 45 C.F.R. 156.235.</w:t>
            </w:r>
          </w:p>
        </w:tc>
        <w:tc>
          <w:tcPr>
            <w:tcW w:w="4675" w:type="dxa"/>
            <w:hideMark/>
          </w:tcPr>
          <w:p w:rsidR="006913B8" w:rsidRPr="00B04D33" w:rsidRDefault="00142AA4" w:rsidP="00B04D33">
            <w:pPr>
              <w:numPr>
                <w:ilvl w:val="0"/>
                <w:numId w:val="2"/>
              </w:numPr>
              <w:spacing w:after="200" w:line="276" w:lineRule="auto"/>
              <w:cnfStyle w:val="000000010000" w:firstRow="0" w:lastRow="0" w:firstColumn="0" w:lastColumn="0" w:oddVBand="0" w:evenVBand="0" w:oddHBand="0" w:evenHBand="1" w:firstRowFirstColumn="0" w:firstRowLastColumn="0" w:lastRowFirstColumn="0" w:lastRowLastColumn="0"/>
            </w:pPr>
            <w:r w:rsidRPr="00B04D33">
              <w:t>Accommodates new 201</w:t>
            </w:r>
            <w:r w:rsidR="00A32E3D">
              <w:t>7</w:t>
            </w:r>
            <w:r w:rsidRPr="00B04D33">
              <w:t xml:space="preserve"> data</w:t>
            </w:r>
            <w:r w:rsidR="00A32E3D">
              <w:t xml:space="preserve"> from the ECP/NA template</w:t>
            </w:r>
          </w:p>
          <w:p w:rsidR="00A32E3D" w:rsidRDefault="00A32E3D" w:rsidP="00B04D33">
            <w:pPr>
              <w:numPr>
                <w:ilvl w:val="0"/>
                <w:numId w:val="2"/>
              </w:numPr>
              <w:spacing w:after="200" w:line="276" w:lineRule="auto"/>
              <w:cnfStyle w:val="000000010000" w:firstRow="0" w:lastRow="0" w:firstColumn="0" w:lastColumn="0" w:oddVBand="0" w:evenVBand="0" w:oddHBand="0" w:evenHBand="1" w:firstRowFirstColumn="0" w:firstRowLastColumn="0" w:lastRowFirstColumn="0" w:lastRowLastColumn="0"/>
            </w:pPr>
            <w:r>
              <w:t>Can be run simultaneously for multiple issuers</w:t>
            </w:r>
          </w:p>
          <w:p w:rsidR="006913B8" w:rsidRPr="00B04D33" w:rsidRDefault="00A32E3D" w:rsidP="00B04D33">
            <w:pPr>
              <w:numPr>
                <w:ilvl w:val="0"/>
                <w:numId w:val="2"/>
              </w:numPr>
              <w:spacing w:after="200" w:line="276" w:lineRule="auto"/>
              <w:cnfStyle w:val="000000010000" w:firstRow="0" w:lastRow="0" w:firstColumn="0" w:lastColumn="0" w:oddVBand="0" w:evenVBand="0" w:oddHBand="0" w:evenHBand="1" w:firstRowFirstColumn="0" w:firstRowLastColumn="0" w:lastRowFirstColumn="0" w:lastRowLastColumn="0"/>
            </w:pPr>
            <w:r>
              <w:t>Evaluates additional ECP categories</w:t>
            </w:r>
            <w:r w:rsidR="00142AA4" w:rsidRPr="00B04D33">
              <w:t xml:space="preserve"> </w:t>
            </w:r>
          </w:p>
        </w:tc>
      </w:tr>
      <w:tr w:rsidR="00B04D33" w:rsidRPr="00B04D33" w:rsidTr="00B04D33">
        <w:trPr>
          <w:cnfStyle w:val="000000100000" w:firstRow="0" w:lastRow="0" w:firstColumn="0" w:lastColumn="0" w:oddVBand="0" w:evenVBand="0" w:oddHBand="1" w:evenHBand="0" w:firstRowFirstColumn="0" w:firstRowLastColumn="0" w:lastRowFirstColumn="0" w:lastRowLastColumn="0"/>
          <w:trHeight w:val="1920"/>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t>SADP Essential Community Providers (ECP) Tool</w:t>
            </w:r>
          </w:p>
        </w:tc>
        <w:tc>
          <w:tcPr>
            <w:tcW w:w="6069" w:type="dxa"/>
            <w:hideMark/>
          </w:tcPr>
          <w:p w:rsidR="006913B8" w:rsidRPr="00B04D33" w:rsidRDefault="00B04D33" w:rsidP="00B04D33">
            <w:pPr>
              <w:spacing w:after="200" w:line="276" w:lineRule="auto"/>
              <w:cnfStyle w:val="000000100000" w:firstRow="0" w:lastRow="0" w:firstColumn="0" w:lastColumn="0" w:oddVBand="0" w:evenVBand="0" w:oddHBand="1" w:evenHBand="0" w:firstRowFirstColumn="0" w:firstRowLastColumn="0" w:lastRowFirstColumn="0" w:lastRowLastColumn="0"/>
            </w:pPr>
            <w:r w:rsidRPr="00B04D33">
              <w:t>Calculates the total number of ECPs an issuer has in each plan's network and compares this to the number of available ECPs in that service area. This tool will check whether the percentage of the plan's networked ECPs is equal to or greater than the ECP threshold (as defined by federal or state regulators) to demonstrate satisfaction of the ECP inclusion standard set forth in 45 C.F.R. 156.235.</w:t>
            </w:r>
          </w:p>
        </w:tc>
        <w:tc>
          <w:tcPr>
            <w:tcW w:w="4675" w:type="dxa"/>
            <w:hideMark/>
          </w:tcPr>
          <w:p w:rsidR="00A32E3D" w:rsidRPr="00B04D33" w:rsidRDefault="00A32E3D" w:rsidP="00A32E3D">
            <w:pPr>
              <w:numPr>
                <w:ilvl w:val="0"/>
                <w:numId w:val="3"/>
              </w:numPr>
              <w:spacing w:after="200" w:line="276" w:lineRule="auto"/>
              <w:cnfStyle w:val="000000100000" w:firstRow="0" w:lastRow="0" w:firstColumn="0" w:lastColumn="0" w:oddVBand="0" w:evenVBand="0" w:oddHBand="1" w:evenHBand="0" w:firstRowFirstColumn="0" w:firstRowLastColumn="0" w:lastRowFirstColumn="0" w:lastRowLastColumn="0"/>
            </w:pPr>
            <w:r w:rsidRPr="00B04D33">
              <w:t>Accommodates new 201</w:t>
            </w:r>
            <w:r>
              <w:t>7</w:t>
            </w:r>
            <w:r w:rsidRPr="00B04D33">
              <w:t xml:space="preserve"> data</w:t>
            </w:r>
            <w:r>
              <w:t xml:space="preserve"> from the ECP/NA template</w:t>
            </w:r>
          </w:p>
          <w:p w:rsidR="00A32E3D" w:rsidRDefault="00A32E3D" w:rsidP="00A32E3D">
            <w:pPr>
              <w:numPr>
                <w:ilvl w:val="0"/>
                <w:numId w:val="3"/>
              </w:numPr>
              <w:spacing w:after="200" w:line="276" w:lineRule="auto"/>
              <w:cnfStyle w:val="000000100000" w:firstRow="0" w:lastRow="0" w:firstColumn="0" w:lastColumn="0" w:oddVBand="0" w:evenVBand="0" w:oddHBand="1" w:evenHBand="0" w:firstRowFirstColumn="0" w:firstRowLastColumn="0" w:lastRowFirstColumn="0" w:lastRowLastColumn="0"/>
            </w:pPr>
            <w:r>
              <w:t>Can be run simultaneously for multiple issuers</w:t>
            </w:r>
          </w:p>
          <w:p w:rsidR="006913B8" w:rsidRPr="00B04D33" w:rsidRDefault="00A32E3D" w:rsidP="00A32E3D">
            <w:pPr>
              <w:numPr>
                <w:ilvl w:val="0"/>
                <w:numId w:val="3"/>
              </w:numPr>
              <w:spacing w:after="200" w:line="276" w:lineRule="auto"/>
              <w:cnfStyle w:val="000000100000" w:firstRow="0" w:lastRow="0" w:firstColumn="0" w:lastColumn="0" w:oddVBand="0" w:evenVBand="0" w:oddHBand="1" w:evenHBand="0" w:firstRowFirstColumn="0" w:firstRowLastColumn="0" w:lastRowFirstColumn="0" w:lastRowLastColumn="0"/>
            </w:pPr>
            <w:r>
              <w:t>Evaluates additional ECP categories</w:t>
            </w:r>
          </w:p>
        </w:tc>
      </w:tr>
      <w:tr w:rsidR="00B04D33" w:rsidRPr="00B04D33" w:rsidTr="00B04D33">
        <w:trPr>
          <w:cnfStyle w:val="000000010000" w:firstRow="0" w:lastRow="0" w:firstColumn="0" w:lastColumn="0" w:oddVBand="0" w:evenVBand="0" w:oddHBand="0" w:evenHBand="1" w:firstRowFirstColumn="0" w:firstRowLastColumn="0" w:lastRowFirstColumn="0" w:lastRowLastColumn="0"/>
          <w:trHeight w:val="1920"/>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t>Meaningful Difference Tool</w:t>
            </w:r>
          </w:p>
        </w:tc>
        <w:tc>
          <w:tcPr>
            <w:tcW w:w="6069" w:type="dxa"/>
            <w:hideMark/>
          </w:tcPr>
          <w:p w:rsidR="006913B8" w:rsidRPr="00B04D33" w:rsidRDefault="00B04D33" w:rsidP="00A01A04">
            <w:pPr>
              <w:spacing w:after="200" w:line="276" w:lineRule="auto"/>
              <w:cnfStyle w:val="000000010000" w:firstRow="0" w:lastRow="0" w:firstColumn="0" w:lastColumn="0" w:oddVBand="0" w:evenVBand="0" w:oddHBand="0" w:evenHBand="1" w:firstRowFirstColumn="0" w:firstRowLastColumn="0" w:lastRowFirstColumn="0" w:lastRowLastColumn="0"/>
            </w:pPr>
            <w:r w:rsidRPr="00B04D33">
              <w:t>Performs the "Supporting Informed Consumer Choice" review as discussed in regulation and the 201</w:t>
            </w:r>
            <w:r w:rsidR="00A01A04">
              <w:t>7</w:t>
            </w:r>
            <w:r w:rsidRPr="00B04D33">
              <w:t xml:space="preserve"> Letter to Issuers. It compares all plans an issuer offers to check whether there are multiple plans in the same country that would appear virtually identical to a consumer</w:t>
            </w:r>
            <w:r w:rsidR="00A01A04">
              <w:t>.</w:t>
            </w:r>
          </w:p>
        </w:tc>
        <w:tc>
          <w:tcPr>
            <w:tcW w:w="4675" w:type="dxa"/>
            <w:hideMark/>
          </w:tcPr>
          <w:p w:rsidR="006913B8" w:rsidRPr="00B04D33" w:rsidRDefault="00142AA4" w:rsidP="00B04D33">
            <w:pPr>
              <w:numPr>
                <w:ilvl w:val="0"/>
                <w:numId w:val="4"/>
              </w:numPr>
              <w:spacing w:after="200" w:line="276" w:lineRule="auto"/>
              <w:cnfStyle w:val="000000010000" w:firstRow="0" w:lastRow="0" w:firstColumn="0" w:lastColumn="0" w:oddVBand="0" w:evenVBand="0" w:oddHBand="0" w:evenHBand="1" w:firstRowFirstColumn="0" w:firstRowLastColumn="0" w:lastRowFirstColumn="0" w:lastRowLastColumn="0"/>
            </w:pPr>
            <w:r w:rsidRPr="00B04D33">
              <w:t>Accommodates new 201</w:t>
            </w:r>
            <w:r w:rsidR="001B7C4C">
              <w:t>7</w:t>
            </w:r>
            <w:r w:rsidR="00A01A04">
              <w:t xml:space="preserve"> </w:t>
            </w:r>
            <w:r w:rsidRPr="00B04D33">
              <w:t>data</w:t>
            </w:r>
          </w:p>
          <w:p w:rsidR="006913B8" w:rsidRDefault="00A01A04" w:rsidP="00A01A04">
            <w:pPr>
              <w:numPr>
                <w:ilvl w:val="0"/>
                <w:numId w:val="4"/>
              </w:numPr>
              <w:spacing w:after="200" w:line="276" w:lineRule="auto"/>
              <w:cnfStyle w:val="000000010000" w:firstRow="0" w:lastRow="0" w:firstColumn="0" w:lastColumn="0" w:oddVBand="0" w:evenVBand="0" w:oddHBand="0" w:evenHBand="1" w:firstRowFirstColumn="0" w:firstRowLastColumn="0" w:lastRowFirstColumn="0" w:lastRowLastColumn="0"/>
            </w:pPr>
            <w:r>
              <w:t>Only reviews benefits that are displayed to consumers</w:t>
            </w:r>
          </w:p>
          <w:p w:rsidR="00A01A04" w:rsidRDefault="00A01A04" w:rsidP="00A01A04">
            <w:pPr>
              <w:numPr>
                <w:ilvl w:val="0"/>
                <w:numId w:val="4"/>
              </w:numPr>
              <w:spacing w:after="200" w:line="276" w:lineRule="auto"/>
              <w:cnfStyle w:val="000000010000" w:firstRow="0" w:lastRow="0" w:firstColumn="0" w:lastColumn="0" w:oddVBand="0" w:evenVBand="0" w:oddHBand="0" w:evenHBand="1" w:firstRowFirstColumn="0" w:firstRowLastColumn="0" w:lastRowFirstColumn="0" w:lastRowLastColumn="0"/>
            </w:pPr>
            <w:r>
              <w:t>Uses drug list ID instead of formulary ID for comparison</w:t>
            </w:r>
          </w:p>
          <w:p w:rsidR="00A01A04" w:rsidRPr="00B04D33" w:rsidRDefault="00A01A04" w:rsidP="00A01A04">
            <w:pPr>
              <w:numPr>
                <w:ilvl w:val="0"/>
                <w:numId w:val="4"/>
              </w:numPr>
              <w:spacing w:after="200" w:line="276" w:lineRule="auto"/>
              <w:cnfStyle w:val="000000010000" w:firstRow="0" w:lastRow="0" w:firstColumn="0" w:lastColumn="0" w:oddVBand="0" w:evenVBand="0" w:oddHBand="0" w:evenHBand="1" w:firstRowFirstColumn="0" w:firstRowLastColumn="0" w:lastRowFirstColumn="0" w:lastRowLastColumn="0"/>
            </w:pPr>
            <w:r>
              <w:t>Increased required difference in MOOP and deductible amounts</w:t>
            </w:r>
          </w:p>
        </w:tc>
      </w:tr>
      <w:tr w:rsidR="00B04D33" w:rsidRPr="00B04D33" w:rsidTr="00B04D33">
        <w:trPr>
          <w:cnfStyle w:val="000000100000" w:firstRow="0" w:lastRow="0" w:firstColumn="0" w:lastColumn="0" w:oddVBand="0" w:evenVBand="0" w:oddHBand="1" w:evenHBand="0" w:firstRowFirstColumn="0" w:firstRowLastColumn="0" w:lastRowFirstColumn="0" w:lastRowLastColumn="0"/>
          <w:trHeight w:val="1920"/>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lastRenderedPageBreak/>
              <w:t>Non-Discrimination Tool</w:t>
            </w:r>
          </w:p>
        </w:tc>
        <w:tc>
          <w:tcPr>
            <w:tcW w:w="6069" w:type="dxa"/>
            <w:hideMark/>
          </w:tcPr>
          <w:p w:rsidR="006913B8" w:rsidRPr="00B04D33" w:rsidRDefault="00B04D33" w:rsidP="00A01A04">
            <w:pPr>
              <w:spacing w:after="200" w:line="276" w:lineRule="auto"/>
              <w:cnfStyle w:val="000000100000" w:firstRow="0" w:lastRow="0" w:firstColumn="0" w:lastColumn="0" w:oddVBand="0" w:evenVBand="0" w:oddHBand="1" w:evenHBand="0" w:firstRowFirstColumn="0" w:firstRowLastColumn="0" w:lastRowFirstColumn="0" w:lastRowLastColumn="0"/>
            </w:pPr>
            <w:r w:rsidRPr="00B04D33">
              <w:t>Performs an outlier analysis for "QHP Discriminatory Benefit Design" as discussed in the 201</w:t>
            </w:r>
            <w:r w:rsidR="00A01A04">
              <w:t>7</w:t>
            </w:r>
            <w:r w:rsidRPr="00B04D33">
              <w:t xml:space="preserve"> Letter to Issuers. It looks at all plans within the state, goes through a group of pre-determined benefits and determines if any plan has a significantly higher copay or coinsurance for those benefits, which could potentially mean that the coverage is discriminatory</w:t>
            </w:r>
            <w:r w:rsidR="00A01A04">
              <w:t>.</w:t>
            </w:r>
          </w:p>
        </w:tc>
        <w:tc>
          <w:tcPr>
            <w:tcW w:w="4675" w:type="dxa"/>
            <w:hideMark/>
          </w:tcPr>
          <w:p w:rsidR="006913B8" w:rsidRPr="00B04D33" w:rsidRDefault="00142AA4" w:rsidP="00B04D33">
            <w:pPr>
              <w:numPr>
                <w:ilvl w:val="0"/>
                <w:numId w:val="5"/>
              </w:numPr>
              <w:spacing w:after="200" w:line="276" w:lineRule="auto"/>
              <w:cnfStyle w:val="000000100000" w:firstRow="0" w:lastRow="0" w:firstColumn="0" w:lastColumn="0" w:oddVBand="0" w:evenVBand="0" w:oddHBand="1" w:evenHBand="0" w:firstRowFirstColumn="0" w:firstRowLastColumn="0" w:lastRowFirstColumn="0" w:lastRowLastColumn="0"/>
            </w:pPr>
            <w:r w:rsidRPr="00B04D33">
              <w:t>Accommodates new 201</w:t>
            </w:r>
            <w:r w:rsidR="001B7C4C">
              <w:t>7</w:t>
            </w:r>
            <w:r w:rsidRPr="00B04D33">
              <w:t xml:space="preserve"> data</w:t>
            </w:r>
          </w:p>
          <w:p w:rsidR="006913B8" w:rsidRPr="00B04D33" w:rsidRDefault="00A01A04" w:rsidP="00A01A04">
            <w:pPr>
              <w:numPr>
                <w:ilvl w:val="0"/>
                <w:numId w:val="5"/>
              </w:numPr>
              <w:spacing w:after="200" w:line="276" w:lineRule="auto"/>
              <w:cnfStyle w:val="000000100000" w:firstRow="0" w:lastRow="0" w:firstColumn="0" w:lastColumn="0" w:oddVBand="0" w:evenVBand="0" w:oddHBand="1" w:evenHBand="0" w:firstRowFirstColumn="0" w:firstRowLastColumn="0" w:lastRowFirstColumn="0" w:lastRowLastColumn="0"/>
            </w:pPr>
            <w:r>
              <w:t>No longer reviews</w:t>
            </w:r>
            <w:r w:rsidR="00142AA4" w:rsidRPr="00B04D33">
              <w:t xml:space="preserve"> SBC Scenarios</w:t>
            </w:r>
          </w:p>
        </w:tc>
      </w:tr>
      <w:tr w:rsidR="00347C00" w:rsidRPr="00B04D33" w:rsidTr="00B04D33">
        <w:trPr>
          <w:cnfStyle w:val="000000010000" w:firstRow="0" w:lastRow="0" w:firstColumn="0" w:lastColumn="0" w:oddVBand="0" w:evenVBand="0" w:oddHBand="0" w:evenHBand="1" w:firstRowFirstColumn="0" w:firstRowLastColumn="0" w:lastRowFirstColumn="0" w:lastRowLastColumn="0"/>
          <w:trHeight w:val="1920"/>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B04D33" w:rsidP="00B04D33">
            <w:pPr>
              <w:spacing w:after="200" w:line="276" w:lineRule="auto"/>
            </w:pPr>
            <w:r w:rsidRPr="00B04D33">
              <w:t>Cost Sharing Tool</w:t>
            </w:r>
          </w:p>
        </w:tc>
        <w:tc>
          <w:tcPr>
            <w:tcW w:w="6069" w:type="dxa"/>
            <w:hideMark/>
          </w:tcPr>
          <w:p w:rsidR="006913B8" w:rsidRPr="00B04D33" w:rsidRDefault="00B04D33" w:rsidP="001B7C4C">
            <w:pPr>
              <w:spacing w:after="200" w:line="276" w:lineRule="auto"/>
              <w:cnfStyle w:val="000000010000" w:firstRow="0" w:lastRow="0" w:firstColumn="0" w:lastColumn="0" w:oddVBand="0" w:evenVBand="0" w:oddHBand="0" w:evenHBand="1" w:firstRowFirstColumn="0" w:firstRowLastColumn="0" w:lastRowFirstColumn="0" w:lastRowLastColumn="0"/>
            </w:pPr>
            <w:r w:rsidRPr="00B04D33">
              <w:t xml:space="preserve">Runs </w:t>
            </w:r>
            <w:r w:rsidR="001B7C4C">
              <w:t>4</w:t>
            </w:r>
            <w:r w:rsidRPr="00B04D33">
              <w:t xml:space="preserve"> different checks (when they are applicable to the plan) for cost sharing standards. This includes: </w:t>
            </w:r>
            <w:r w:rsidR="00A01A04" w:rsidRPr="00B04D33">
              <w:t xml:space="preserve">Maximum </w:t>
            </w:r>
            <w:r w:rsidRPr="00B04D33">
              <w:t xml:space="preserve">Out of Pocket </w:t>
            </w:r>
            <w:r w:rsidR="00A01A04">
              <w:t>(MOOP</w:t>
            </w:r>
            <w:r w:rsidRPr="00B04D33">
              <w:t xml:space="preserve">) Review, Cost Sharing Reduction (CSR) Plan Variation Review, </w:t>
            </w:r>
            <w:r w:rsidR="00A01A04">
              <w:t xml:space="preserve">Standardized Plan Design Review, </w:t>
            </w:r>
            <w:r w:rsidRPr="00B04D33">
              <w:t>and Catastrophic Plan Review.</w:t>
            </w:r>
          </w:p>
        </w:tc>
        <w:tc>
          <w:tcPr>
            <w:tcW w:w="4675" w:type="dxa"/>
            <w:hideMark/>
          </w:tcPr>
          <w:p w:rsidR="006913B8" w:rsidRPr="00B04D33" w:rsidRDefault="00142AA4" w:rsidP="00B04D33">
            <w:pPr>
              <w:numPr>
                <w:ilvl w:val="0"/>
                <w:numId w:val="6"/>
              </w:numPr>
              <w:spacing w:after="200" w:line="276" w:lineRule="auto"/>
              <w:cnfStyle w:val="000000010000" w:firstRow="0" w:lastRow="0" w:firstColumn="0" w:lastColumn="0" w:oddVBand="0" w:evenVBand="0" w:oddHBand="0" w:evenHBand="1" w:firstRowFirstColumn="0" w:firstRowLastColumn="0" w:lastRowFirstColumn="0" w:lastRowLastColumn="0"/>
            </w:pPr>
            <w:r w:rsidRPr="00B04D33">
              <w:t>Accommodates new 201</w:t>
            </w:r>
            <w:r w:rsidR="001B7C4C">
              <w:t>7</w:t>
            </w:r>
            <w:r w:rsidRPr="00B04D33">
              <w:t xml:space="preserve"> data</w:t>
            </w:r>
          </w:p>
          <w:p w:rsidR="006913B8" w:rsidRPr="00B04D33" w:rsidRDefault="00142AA4" w:rsidP="001B7C4C">
            <w:pPr>
              <w:numPr>
                <w:ilvl w:val="0"/>
                <w:numId w:val="6"/>
              </w:numPr>
              <w:spacing w:after="200" w:line="276" w:lineRule="auto"/>
              <w:cnfStyle w:val="000000010000" w:firstRow="0" w:lastRow="0" w:firstColumn="0" w:lastColumn="0" w:oddVBand="0" w:evenVBand="0" w:oddHBand="0" w:evenHBand="1" w:firstRowFirstColumn="0" w:firstRowLastColumn="0" w:lastRowFirstColumn="0" w:lastRowLastColumn="0"/>
            </w:pPr>
            <w:r w:rsidRPr="00B04D33">
              <w:t xml:space="preserve">Includes </w:t>
            </w:r>
            <w:r w:rsidR="001B7C4C">
              <w:t>new review for plans that follow a Standardized Plan Design</w:t>
            </w:r>
          </w:p>
        </w:tc>
      </w:tr>
      <w:tr w:rsidR="00B04D33" w:rsidRPr="00B04D33" w:rsidTr="00B04D33">
        <w:trPr>
          <w:cnfStyle w:val="000000100000" w:firstRow="0" w:lastRow="0" w:firstColumn="0" w:lastColumn="0" w:oddVBand="0" w:evenVBand="0" w:oddHBand="1" w:evenHBand="0" w:firstRowFirstColumn="0" w:firstRowLastColumn="0" w:lastRowFirstColumn="0" w:lastRowLastColumn="0"/>
          <w:trHeight w:val="1920"/>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A01A04" w:rsidP="00A01A04">
            <w:pPr>
              <w:spacing w:after="200" w:line="276" w:lineRule="auto"/>
            </w:pPr>
            <w:r>
              <w:t>Formulary Review Suite</w:t>
            </w:r>
            <w:r w:rsidR="00F052F9">
              <w:t xml:space="preserve"> </w:t>
            </w:r>
            <w:r>
              <w:t>-</w:t>
            </w:r>
            <w:r w:rsidR="00B04D33" w:rsidRPr="00B04D33">
              <w:t xml:space="preserve">Category Class Drug Count </w:t>
            </w:r>
            <w:r>
              <w:t>Review</w:t>
            </w:r>
          </w:p>
        </w:tc>
        <w:tc>
          <w:tcPr>
            <w:tcW w:w="6069" w:type="dxa"/>
            <w:hideMark/>
          </w:tcPr>
          <w:p w:rsidR="006913B8" w:rsidRPr="00B04D33" w:rsidRDefault="00B04D33" w:rsidP="00A01A04">
            <w:pPr>
              <w:spacing w:after="200" w:line="276" w:lineRule="auto"/>
              <w:cnfStyle w:val="000000100000" w:firstRow="0" w:lastRow="0" w:firstColumn="0" w:lastColumn="0" w:oddVBand="0" w:evenVBand="0" w:oddHBand="1" w:evenHBand="0" w:firstRowFirstColumn="0" w:firstRowLastColumn="0" w:lastRowFirstColumn="0" w:lastRowLastColumn="0"/>
            </w:pPr>
            <w:r w:rsidRPr="00B04D33">
              <w:t>Compares the count of unique chemically distinct drugs in each USPv</w:t>
            </w:r>
            <w:r w:rsidR="00A01A04">
              <w:t>6</w:t>
            </w:r>
            <w:r w:rsidRPr="00B04D33">
              <w:t xml:space="preserve"> category and class for each drug list with the benchmark.</w:t>
            </w:r>
          </w:p>
        </w:tc>
        <w:tc>
          <w:tcPr>
            <w:tcW w:w="4675" w:type="dxa"/>
            <w:hideMark/>
          </w:tcPr>
          <w:p w:rsidR="006913B8" w:rsidRDefault="00142AA4" w:rsidP="00A01A04">
            <w:pPr>
              <w:numPr>
                <w:ilvl w:val="0"/>
                <w:numId w:val="7"/>
              </w:numPr>
              <w:spacing w:after="200" w:line="276" w:lineRule="auto"/>
              <w:cnfStyle w:val="000000100000" w:firstRow="0" w:lastRow="0" w:firstColumn="0" w:lastColumn="0" w:oddVBand="0" w:evenVBand="0" w:oddHBand="1" w:evenHBand="0" w:firstRowFirstColumn="0" w:firstRowLastColumn="0" w:lastRowFirstColumn="0" w:lastRowLastColumn="0"/>
            </w:pPr>
            <w:r w:rsidRPr="00B04D33">
              <w:t>Accommodates new 201</w:t>
            </w:r>
            <w:r w:rsidR="00A01A04">
              <w:t>7</w:t>
            </w:r>
            <w:r w:rsidRPr="00B04D33">
              <w:t xml:space="preserve"> data</w:t>
            </w:r>
          </w:p>
          <w:p w:rsidR="00AF5BB0" w:rsidRDefault="00A32E3D" w:rsidP="00AF5BB0">
            <w:pPr>
              <w:numPr>
                <w:ilvl w:val="0"/>
                <w:numId w:val="7"/>
              </w:numPr>
              <w:spacing w:after="200" w:line="276" w:lineRule="auto"/>
              <w:cnfStyle w:val="000000100000" w:firstRow="0" w:lastRow="0" w:firstColumn="0" w:lastColumn="0" w:oddVBand="0" w:evenVBand="0" w:oddHBand="1" w:evenHBand="0" w:firstRowFirstColumn="0" w:firstRowLastColumn="0" w:lastRowFirstColumn="0" w:lastRowLastColumn="0"/>
            </w:pPr>
            <w:r w:rsidRPr="00AF5BB0">
              <w:t>Incorporated into one Formulary Review Suite to improve usability and decrease user burden</w:t>
            </w:r>
          </w:p>
          <w:p w:rsidR="00AF5BB0" w:rsidRPr="00B04D33" w:rsidRDefault="00AF5BB0" w:rsidP="00AF5BB0">
            <w:pPr>
              <w:numPr>
                <w:ilvl w:val="0"/>
                <w:numId w:val="7"/>
              </w:numPr>
              <w:spacing w:after="200" w:line="276" w:lineRule="auto"/>
              <w:cnfStyle w:val="000000100000" w:firstRow="0" w:lastRow="0" w:firstColumn="0" w:lastColumn="0" w:oddVBand="0" w:evenVBand="0" w:oddHBand="1" w:evenHBand="0" w:firstRowFirstColumn="0" w:firstRowLastColumn="0" w:lastRowFirstColumn="0" w:lastRowLastColumn="0"/>
            </w:pPr>
            <w:r>
              <w:t>Uses USPv6 category and classes</w:t>
            </w:r>
          </w:p>
        </w:tc>
      </w:tr>
      <w:tr w:rsidR="008E5415" w:rsidRPr="00B04D33" w:rsidTr="00B04D33">
        <w:trPr>
          <w:cnfStyle w:val="000000010000" w:firstRow="0" w:lastRow="0" w:firstColumn="0" w:lastColumn="0" w:oddVBand="0" w:evenVBand="0" w:oddHBand="0" w:evenHBand="1" w:firstRowFirstColumn="0" w:firstRowLastColumn="0" w:lastRowFirstColumn="0" w:lastRowLastColumn="0"/>
          <w:trHeight w:val="1920"/>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F052F9" w:rsidP="00A01A04">
            <w:pPr>
              <w:spacing w:after="200" w:line="276" w:lineRule="auto"/>
            </w:pPr>
            <w:r>
              <w:t>Formulary Review S</w:t>
            </w:r>
            <w:bookmarkStart w:id="0" w:name="_GoBack"/>
            <w:bookmarkEnd w:id="0"/>
            <w:r>
              <w:t>uite -</w:t>
            </w:r>
            <w:r w:rsidR="00B04D33" w:rsidRPr="00B04D33">
              <w:t xml:space="preserve">Non-Discrimination Formulary Outlier </w:t>
            </w:r>
            <w:r w:rsidR="00A01A04">
              <w:t>Review</w:t>
            </w:r>
          </w:p>
        </w:tc>
        <w:tc>
          <w:tcPr>
            <w:tcW w:w="6069" w:type="dxa"/>
            <w:hideMark/>
          </w:tcPr>
          <w:p w:rsidR="006913B8" w:rsidRPr="00B04D33" w:rsidRDefault="00B04D33" w:rsidP="00F052F9">
            <w:pPr>
              <w:spacing w:after="200" w:line="276" w:lineRule="auto"/>
              <w:cnfStyle w:val="000000010000" w:firstRow="0" w:lastRow="0" w:firstColumn="0" w:lastColumn="0" w:oddVBand="0" w:evenVBand="0" w:oddHBand="0" w:evenHBand="1" w:firstRowFirstColumn="0" w:firstRowLastColumn="0" w:lastRowFirstColumn="0" w:lastRowLastColumn="0"/>
            </w:pPr>
            <w:r w:rsidRPr="00B04D33">
              <w:t xml:space="preserve">Identifies and flags as outliers those plans that have unusually </w:t>
            </w:r>
            <w:r w:rsidR="00F052F9">
              <w:t>low</w:t>
            </w:r>
            <w:r w:rsidRPr="00B04D33">
              <w:t xml:space="preserve"> numbers of </w:t>
            </w:r>
            <w:r w:rsidR="00F052F9">
              <w:t xml:space="preserve">unrestricted </w:t>
            </w:r>
            <w:r w:rsidRPr="00B04D33">
              <w:t xml:space="preserve">drugs </w:t>
            </w:r>
            <w:r w:rsidR="00F052F9">
              <w:t xml:space="preserve">(not </w:t>
            </w:r>
            <w:r w:rsidRPr="00B04D33">
              <w:t>subject to prior authorization and/or step therapy requirements</w:t>
            </w:r>
            <w:r w:rsidR="00F052F9">
              <w:t>)</w:t>
            </w:r>
            <w:r w:rsidRPr="00B04D33">
              <w:t xml:space="preserve"> in </w:t>
            </w:r>
            <w:r w:rsidR="00A01A04">
              <w:t>25</w:t>
            </w:r>
            <w:r w:rsidRPr="00B04D33">
              <w:t xml:space="preserve"> USP classes</w:t>
            </w:r>
            <w:r w:rsidR="00A01A04">
              <w:t>.</w:t>
            </w:r>
            <w:r w:rsidRPr="00B04D33">
              <w:t xml:space="preserve"> </w:t>
            </w:r>
          </w:p>
        </w:tc>
        <w:tc>
          <w:tcPr>
            <w:tcW w:w="4675" w:type="dxa"/>
            <w:hideMark/>
          </w:tcPr>
          <w:p w:rsidR="006913B8" w:rsidRDefault="00142AA4" w:rsidP="00A01A04">
            <w:pPr>
              <w:numPr>
                <w:ilvl w:val="0"/>
                <w:numId w:val="8"/>
              </w:numPr>
              <w:spacing w:after="200" w:line="276" w:lineRule="auto"/>
              <w:cnfStyle w:val="000000010000" w:firstRow="0" w:lastRow="0" w:firstColumn="0" w:lastColumn="0" w:oddVBand="0" w:evenVBand="0" w:oddHBand="0" w:evenHBand="1" w:firstRowFirstColumn="0" w:firstRowLastColumn="0" w:lastRowFirstColumn="0" w:lastRowLastColumn="0"/>
            </w:pPr>
            <w:r w:rsidRPr="00B04D33">
              <w:t>Accommodates new 201</w:t>
            </w:r>
            <w:r w:rsidR="00A01A04">
              <w:t>7</w:t>
            </w:r>
            <w:r w:rsidRPr="00B04D33">
              <w:t xml:space="preserve"> data</w:t>
            </w:r>
          </w:p>
          <w:p w:rsidR="00AF5BB0" w:rsidRPr="00B04D33" w:rsidRDefault="00AF5BB0" w:rsidP="00A01A04">
            <w:pPr>
              <w:numPr>
                <w:ilvl w:val="0"/>
                <w:numId w:val="8"/>
              </w:numPr>
              <w:spacing w:after="200" w:line="276" w:lineRule="auto"/>
              <w:cnfStyle w:val="000000010000" w:firstRow="0" w:lastRow="0" w:firstColumn="0" w:lastColumn="0" w:oddVBand="0" w:evenVBand="0" w:oddHBand="0" w:evenHBand="1" w:firstRowFirstColumn="0" w:firstRowLastColumn="0" w:lastRowFirstColumn="0" w:lastRowLastColumn="0"/>
            </w:pPr>
            <w:r w:rsidRPr="00AF5BB0">
              <w:t>Incorporated into one Formulary Review Suite to improve usability and decrease user burden</w:t>
            </w:r>
          </w:p>
        </w:tc>
      </w:tr>
      <w:tr w:rsidR="008E5415" w:rsidRPr="00B04D33" w:rsidTr="00B04D33">
        <w:trPr>
          <w:cnfStyle w:val="000000100000" w:firstRow="0" w:lastRow="0" w:firstColumn="0" w:lastColumn="0" w:oddVBand="0" w:evenVBand="0" w:oddHBand="1" w:evenHBand="0" w:firstRowFirstColumn="0" w:firstRowLastColumn="0" w:lastRowFirstColumn="0" w:lastRowLastColumn="0"/>
          <w:trHeight w:val="1920"/>
        </w:trPr>
        <w:tc>
          <w:tcPr>
            <w:cnfStyle w:val="001000000000" w:firstRow="0" w:lastRow="0" w:firstColumn="1" w:lastColumn="0" w:oddVBand="0" w:evenVBand="0" w:oddHBand="0" w:evenHBand="0" w:firstRowFirstColumn="0" w:firstRowLastColumn="0" w:lastRowFirstColumn="0" w:lastRowLastColumn="0"/>
            <w:tcW w:w="2816" w:type="dxa"/>
            <w:hideMark/>
          </w:tcPr>
          <w:p w:rsidR="006913B8" w:rsidRPr="00B04D33" w:rsidRDefault="00F052F9" w:rsidP="00A01A04">
            <w:pPr>
              <w:spacing w:after="200" w:line="276" w:lineRule="auto"/>
            </w:pPr>
            <w:r>
              <w:lastRenderedPageBreak/>
              <w:t>Formulary Review Suite -</w:t>
            </w:r>
            <w:r w:rsidR="00B04D33" w:rsidRPr="00B04D33">
              <w:t xml:space="preserve">Non-Discrimination Clinical Appropriateness </w:t>
            </w:r>
            <w:r w:rsidR="00A01A04">
              <w:t>Review</w:t>
            </w:r>
          </w:p>
        </w:tc>
        <w:tc>
          <w:tcPr>
            <w:tcW w:w="6069" w:type="dxa"/>
            <w:hideMark/>
          </w:tcPr>
          <w:p w:rsidR="006913B8" w:rsidRPr="00B04D33" w:rsidRDefault="00B04D33" w:rsidP="00A01A04">
            <w:pPr>
              <w:spacing w:after="200" w:line="276" w:lineRule="auto"/>
              <w:cnfStyle w:val="000000100000" w:firstRow="0" w:lastRow="0" w:firstColumn="0" w:lastColumn="0" w:oddVBand="0" w:evenVBand="0" w:oddHBand="1" w:evenHBand="0" w:firstRowFirstColumn="0" w:firstRowLastColumn="0" w:lastRowFirstColumn="0" w:lastRowLastColumn="0"/>
            </w:pPr>
            <w:r w:rsidRPr="00B04D33">
              <w:t xml:space="preserve">Analyzes the availability of covered drugs associated with </w:t>
            </w:r>
            <w:r w:rsidR="00A01A04">
              <w:t>nine</w:t>
            </w:r>
            <w:r w:rsidRPr="00B04D33">
              <w:t xml:space="preserve"> </w:t>
            </w:r>
            <w:r w:rsidR="00A01A04">
              <w:t>conditions</w:t>
            </w:r>
            <w:r w:rsidRPr="00B04D33">
              <w:t xml:space="preserve"> as recommended in clinical guidelines, to ensure that issuers are offering a sufficient type and number of drugs.</w:t>
            </w:r>
          </w:p>
        </w:tc>
        <w:tc>
          <w:tcPr>
            <w:tcW w:w="4675" w:type="dxa"/>
            <w:hideMark/>
          </w:tcPr>
          <w:p w:rsidR="006913B8" w:rsidRDefault="00142AA4" w:rsidP="00A01A04">
            <w:pPr>
              <w:numPr>
                <w:ilvl w:val="0"/>
                <w:numId w:val="9"/>
              </w:numPr>
              <w:spacing w:after="200" w:line="276" w:lineRule="auto"/>
              <w:cnfStyle w:val="000000100000" w:firstRow="0" w:lastRow="0" w:firstColumn="0" w:lastColumn="0" w:oddVBand="0" w:evenVBand="0" w:oddHBand="1" w:evenHBand="0" w:firstRowFirstColumn="0" w:firstRowLastColumn="0" w:lastRowFirstColumn="0" w:lastRowLastColumn="0"/>
            </w:pPr>
            <w:r w:rsidRPr="00B04D33">
              <w:t>Accommodates new 201</w:t>
            </w:r>
            <w:r w:rsidR="00A01A04">
              <w:t>7</w:t>
            </w:r>
            <w:r w:rsidRPr="00B04D33">
              <w:t xml:space="preserve"> data</w:t>
            </w:r>
          </w:p>
          <w:p w:rsidR="00AF5BB0" w:rsidRDefault="00AF5BB0" w:rsidP="00A01A04">
            <w:pPr>
              <w:numPr>
                <w:ilvl w:val="0"/>
                <w:numId w:val="9"/>
              </w:numPr>
              <w:spacing w:after="200" w:line="276" w:lineRule="auto"/>
              <w:cnfStyle w:val="000000100000" w:firstRow="0" w:lastRow="0" w:firstColumn="0" w:lastColumn="0" w:oddVBand="0" w:evenVBand="0" w:oddHBand="1" w:evenHBand="0" w:firstRowFirstColumn="0" w:firstRowLastColumn="0" w:lastRowFirstColumn="0" w:lastRowLastColumn="0"/>
            </w:pPr>
            <w:r w:rsidRPr="00AF5BB0">
              <w:t>Incorporated into one Formulary Review Suite to improve usability and decrease user burden</w:t>
            </w:r>
          </w:p>
          <w:p w:rsidR="00AF5BB0" w:rsidRPr="00B04D33" w:rsidRDefault="00AF5BB0" w:rsidP="00A01A04">
            <w:pPr>
              <w:numPr>
                <w:ilvl w:val="0"/>
                <w:numId w:val="9"/>
              </w:numPr>
              <w:spacing w:after="200" w:line="276" w:lineRule="auto"/>
              <w:cnfStyle w:val="000000100000" w:firstRow="0" w:lastRow="0" w:firstColumn="0" w:lastColumn="0" w:oddVBand="0" w:evenVBand="0" w:oddHBand="1" w:evenHBand="0" w:firstRowFirstColumn="0" w:firstRowLastColumn="0" w:lastRowFirstColumn="0" w:lastRowLastColumn="0"/>
            </w:pPr>
            <w:r>
              <w:t>Reviews 5 additional conditions</w:t>
            </w:r>
          </w:p>
        </w:tc>
      </w:tr>
    </w:tbl>
    <w:p w:rsidR="00B04D33" w:rsidRDefault="00B04D33"/>
    <w:p w:rsidR="00B04D33" w:rsidRPr="00B04D33" w:rsidRDefault="00B04D33" w:rsidP="00B04D33">
      <w:pPr>
        <w:tabs>
          <w:tab w:val="left" w:pos="9585"/>
        </w:tabs>
      </w:pPr>
      <w:r>
        <w:t xml:space="preserve">For additional information, contact the CMS Exchange Operations Support Center help desk at 855-CMS-1515 or via e-mail at </w:t>
      </w:r>
      <w:hyperlink r:id="rId8" w:history="1">
        <w:r w:rsidRPr="00794193">
          <w:rPr>
            <w:rStyle w:val="Hyperlink"/>
          </w:rPr>
          <w:t>CMS_FEPS@cms.hhs.gov</w:t>
        </w:r>
      </w:hyperlink>
      <w:r>
        <w:t xml:space="preserve">. </w:t>
      </w:r>
    </w:p>
    <w:sectPr w:rsidR="00B04D33" w:rsidRPr="00B04D33" w:rsidSect="00B04D33">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CD2" w:rsidRDefault="00614CD2" w:rsidP="00347C00">
      <w:pPr>
        <w:spacing w:after="0" w:line="240" w:lineRule="auto"/>
      </w:pPr>
      <w:r>
        <w:separator/>
      </w:r>
    </w:p>
  </w:endnote>
  <w:endnote w:type="continuationSeparator" w:id="0">
    <w:p w:rsidR="00614CD2" w:rsidRDefault="00614CD2" w:rsidP="00347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C00" w:rsidRPr="00F14886" w:rsidRDefault="00347C00">
    <w:pPr>
      <w:pStyle w:val="Footer"/>
      <w:rPr>
        <w:rFonts w:asciiTheme="majorHAnsi" w:hAnsiTheme="majorHAnsi"/>
        <w:sz w:val="24"/>
        <w:szCs w:val="24"/>
      </w:rPr>
    </w:pPr>
    <w:r w:rsidRPr="00F14886">
      <w:rPr>
        <w:rFonts w:asciiTheme="majorHAnsi" w:hAnsiTheme="majorHAnsi"/>
        <w:sz w:val="24"/>
        <w:szCs w:val="24"/>
      </w:rPr>
      <w:t>Version 1</w:t>
    </w:r>
    <w:r w:rsidRPr="00F14886">
      <w:rPr>
        <w:rFonts w:asciiTheme="majorHAnsi" w:hAnsiTheme="majorHAnsi"/>
        <w:sz w:val="24"/>
        <w:szCs w:val="24"/>
      </w:rPr>
      <w:ptab w:relativeTo="margin" w:alignment="center" w:leader="none"/>
    </w:r>
    <w:r w:rsidR="00F14886" w:rsidRPr="00F14886">
      <w:rPr>
        <w:rFonts w:asciiTheme="majorHAnsi" w:hAnsiTheme="majorHAnsi"/>
        <w:sz w:val="24"/>
        <w:szCs w:val="24"/>
      </w:rPr>
      <w:fldChar w:fldCharType="begin"/>
    </w:r>
    <w:r w:rsidR="00F14886" w:rsidRPr="00F14886">
      <w:rPr>
        <w:rFonts w:asciiTheme="majorHAnsi" w:hAnsiTheme="majorHAnsi"/>
        <w:sz w:val="24"/>
        <w:szCs w:val="24"/>
      </w:rPr>
      <w:instrText xml:space="preserve"> PAGE   \* MERGEFORMAT </w:instrText>
    </w:r>
    <w:r w:rsidR="00F14886" w:rsidRPr="00F14886">
      <w:rPr>
        <w:rFonts w:asciiTheme="majorHAnsi" w:hAnsiTheme="majorHAnsi"/>
        <w:sz w:val="24"/>
        <w:szCs w:val="24"/>
      </w:rPr>
      <w:fldChar w:fldCharType="separate"/>
    </w:r>
    <w:r w:rsidR="00F052F9">
      <w:rPr>
        <w:rFonts w:asciiTheme="majorHAnsi" w:hAnsiTheme="majorHAnsi"/>
        <w:noProof/>
        <w:sz w:val="24"/>
        <w:szCs w:val="24"/>
      </w:rPr>
      <w:t>4</w:t>
    </w:r>
    <w:r w:rsidR="00F14886" w:rsidRPr="00F14886">
      <w:rPr>
        <w:rFonts w:asciiTheme="majorHAnsi" w:hAnsiTheme="majorHAnsi"/>
        <w:noProof/>
        <w:sz w:val="24"/>
        <w:szCs w:val="24"/>
      </w:rPr>
      <w:fldChar w:fldCharType="end"/>
    </w:r>
    <w:r w:rsidRPr="00F14886">
      <w:rPr>
        <w:rFonts w:asciiTheme="majorHAnsi" w:hAnsiTheme="majorHAnsi"/>
        <w:sz w:val="24"/>
        <w:szCs w:val="24"/>
      </w:rPr>
      <w:ptab w:relativeTo="margin" w:alignment="right" w:leader="none"/>
    </w:r>
    <w:r w:rsidR="00F14886" w:rsidRPr="00F14886">
      <w:rPr>
        <w:rFonts w:asciiTheme="majorHAnsi" w:hAnsiTheme="majorHAnsi"/>
        <w:sz w:val="24"/>
        <w:szCs w:val="24"/>
      </w:rPr>
      <w:t>201</w:t>
    </w:r>
    <w:r w:rsidR="00A32E3D">
      <w:rPr>
        <w:rFonts w:asciiTheme="majorHAnsi" w:hAnsiTheme="majorHAnsi"/>
        <w:sz w:val="24"/>
        <w:szCs w:val="24"/>
      </w:rPr>
      <w:t>7</w:t>
    </w:r>
    <w:r w:rsidR="00F14886" w:rsidRPr="00F14886">
      <w:rPr>
        <w:rFonts w:asciiTheme="majorHAnsi" w:hAnsiTheme="majorHAnsi"/>
        <w:sz w:val="24"/>
        <w:szCs w:val="24"/>
      </w:rPr>
      <w:t xml:space="preserve"> QHP Application Review Tools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CD2" w:rsidRDefault="00614CD2" w:rsidP="00347C00">
      <w:pPr>
        <w:spacing w:after="0" w:line="240" w:lineRule="auto"/>
      </w:pPr>
      <w:r>
        <w:separator/>
      </w:r>
    </w:p>
  </w:footnote>
  <w:footnote w:type="continuationSeparator" w:id="0">
    <w:p w:rsidR="00614CD2" w:rsidRDefault="00614CD2" w:rsidP="00347C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313AC"/>
    <w:multiLevelType w:val="hybridMultilevel"/>
    <w:tmpl w:val="B32887AC"/>
    <w:lvl w:ilvl="0" w:tplc="587E48E0">
      <w:start w:val="1"/>
      <w:numFmt w:val="bullet"/>
      <w:lvlText w:val="•"/>
      <w:lvlJc w:val="left"/>
      <w:pPr>
        <w:tabs>
          <w:tab w:val="num" w:pos="720"/>
        </w:tabs>
        <w:ind w:left="720" w:hanging="360"/>
      </w:pPr>
      <w:rPr>
        <w:rFonts w:ascii="Arial" w:hAnsi="Arial" w:hint="default"/>
      </w:rPr>
    </w:lvl>
    <w:lvl w:ilvl="1" w:tplc="2CB44828" w:tentative="1">
      <w:start w:val="1"/>
      <w:numFmt w:val="bullet"/>
      <w:lvlText w:val="•"/>
      <w:lvlJc w:val="left"/>
      <w:pPr>
        <w:tabs>
          <w:tab w:val="num" w:pos="1440"/>
        </w:tabs>
        <w:ind w:left="1440" w:hanging="360"/>
      </w:pPr>
      <w:rPr>
        <w:rFonts w:ascii="Arial" w:hAnsi="Arial" w:hint="default"/>
      </w:rPr>
    </w:lvl>
    <w:lvl w:ilvl="2" w:tplc="A6DE16B2" w:tentative="1">
      <w:start w:val="1"/>
      <w:numFmt w:val="bullet"/>
      <w:lvlText w:val="•"/>
      <w:lvlJc w:val="left"/>
      <w:pPr>
        <w:tabs>
          <w:tab w:val="num" w:pos="2160"/>
        </w:tabs>
        <w:ind w:left="2160" w:hanging="360"/>
      </w:pPr>
      <w:rPr>
        <w:rFonts w:ascii="Arial" w:hAnsi="Arial" w:hint="default"/>
      </w:rPr>
    </w:lvl>
    <w:lvl w:ilvl="3" w:tplc="2034C204" w:tentative="1">
      <w:start w:val="1"/>
      <w:numFmt w:val="bullet"/>
      <w:lvlText w:val="•"/>
      <w:lvlJc w:val="left"/>
      <w:pPr>
        <w:tabs>
          <w:tab w:val="num" w:pos="2880"/>
        </w:tabs>
        <w:ind w:left="2880" w:hanging="360"/>
      </w:pPr>
      <w:rPr>
        <w:rFonts w:ascii="Arial" w:hAnsi="Arial" w:hint="default"/>
      </w:rPr>
    </w:lvl>
    <w:lvl w:ilvl="4" w:tplc="8F961710" w:tentative="1">
      <w:start w:val="1"/>
      <w:numFmt w:val="bullet"/>
      <w:lvlText w:val="•"/>
      <w:lvlJc w:val="left"/>
      <w:pPr>
        <w:tabs>
          <w:tab w:val="num" w:pos="3600"/>
        </w:tabs>
        <w:ind w:left="3600" w:hanging="360"/>
      </w:pPr>
      <w:rPr>
        <w:rFonts w:ascii="Arial" w:hAnsi="Arial" w:hint="default"/>
      </w:rPr>
    </w:lvl>
    <w:lvl w:ilvl="5" w:tplc="48DECD96" w:tentative="1">
      <w:start w:val="1"/>
      <w:numFmt w:val="bullet"/>
      <w:lvlText w:val="•"/>
      <w:lvlJc w:val="left"/>
      <w:pPr>
        <w:tabs>
          <w:tab w:val="num" w:pos="4320"/>
        </w:tabs>
        <w:ind w:left="4320" w:hanging="360"/>
      </w:pPr>
      <w:rPr>
        <w:rFonts w:ascii="Arial" w:hAnsi="Arial" w:hint="default"/>
      </w:rPr>
    </w:lvl>
    <w:lvl w:ilvl="6" w:tplc="A30ED2C2" w:tentative="1">
      <w:start w:val="1"/>
      <w:numFmt w:val="bullet"/>
      <w:lvlText w:val="•"/>
      <w:lvlJc w:val="left"/>
      <w:pPr>
        <w:tabs>
          <w:tab w:val="num" w:pos="5040"/>
        </w:tabs>
        <w:ind w:left="5040" w:hanging="360"/>
      </w:pPr>
      <w:rPr>
        <w:rFonts w:ascii="Arial" w:hAnsi="Arial" w:hint="default"/>
      </w:rPr>
    </w:lvl>
    <w:lvl w:ilvl="7" w:tplc="EFDEC370" w:tentative="1">
      <w:start w:val="1"/>
      <w:numFmt w:val="bullet"/>
      <w:lvlText w:val="•"/>
      <w:lvlJc w:val="left"/>
      <w:pPr>
        <w:tabs>
          <w:tab w:val="num" w:pos="5760"/>
        </w:tabs>
        <w:ind w:left="5760" w:hanging="360"/>
      </w:pPr>
      <w:rPr>
        <w:rFonts w:ascii="Arial" w:hAnsi="Arial" w:hint="default"/>
      </w:rPr>
    </w:lvl>
    <w:lvl w:ilvl="8" w:tplc="20FE220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513814"/>
    <w:multiLevelType w:val="hybridMultilevel"/>
    <w:tmpl w:val="2EACF428"/>
    <w:lvl w:ilvl="0" w:tplc="25BE614C">
      <w:start w:val="1"/>
      <w:numFmt w:val="bullet"/>
      <w:lvlText w:val="•"/>
      <w:lvlJc w:val="left"/>
      <w:pPr>
        <w:tabs>
          <w:tab w:val="num" w:pos="720"/>
        </w:tabs>
        <w:ind w:left="720" w:hanging="360"/>
      </w:pPr>
      <w:rPr>
        <w:rFonts w:ascii="Arial" w:hAnsi="Arial" w:hint="default"/>
      </w:rPr>
    </w:lvl>
    <w:lvl w:ilvl="1" w:tplc="F912D760" w:tentative="1">
      <w:start w:val="1"/>
      <w:numFmt w:val="bullet"/>
      <w:lvlText w:val="•"/>
      <w:lvlJc w:val="left"/>
      <w:pPr>
        <w:tabs>
          <w:tab w:val="num" w:pos="1440"/>
        </w:tabs>
        <w:ind w:left="1440" w:hanging="360"/>
      </w:pPr>
      <w:rPr>
        <w:rFonts w:ascii="Arial" w:hAnsi="Arial" w:hint="default"/>
      </w:rPr>
    </w:lvl>
    <w:lvl w:ilvl="2" w:tplc="2C9221D0" w:tentative="1">
      <w:start w:val="1"/>
      <w:numFmt w:val="bullet"/>
      <w:lvlText w:val="•"/>
      <w:lvlJc w:val="left"/>
      <w:pPr>
        <w:tabs>
          <w:tab w:val="num" w:pos="2160"/>
        </w:tabs>
        <w:ind w:left="2160" w:hanging="360"/>
      </w:pPr>
      <w:rPr>
        <w:rFonts w:ascii="Arial" w:hAnsi="Arial" w:hint="default"/>
      </w:rPr>
    </w:lvl>
    <w:lvl w:ilvl="3" w:tplc="B0B22704" w:tentative="1">
      <w:start w:val="1"/>
      <w:numFmt w:val="bullet"/>
      <w:lvlText w:val="•"/>
      <w:lvlJc w:val="left"/>
      <w:pPr>
        <w:tabs>
          <w:tab w:val="num" w:pos="2880"/>
        </w:tabs>
        <w:ind w:left="2880" w:hanging="360"/>
      </w:pPr>
      <w:rPr>
        <w:rFonts w:ascii="Arial" w:hAnsi="Arial" w:hint="default"/>
      </w:rPr>
    </w:lvl>
    <w:lvl w:ilvl="4" w:tplc="5224B296" w:tentative="1">
      <w:start w:val="1"/>
      <w:numFmt w:val="bullet"/>
      <w:lvlText w:val="•"/>
      <w:lvlJc w:val="left"/>
      <w:pPr>
        <w:tabs>
          <w:tab w:val="num" w:pos="3600"/>
        </w:tabs>
        <w:ind w:left="3600" w:hanging="360"/>
      </w:pPr>
      <w:rPr>
        <w:rFonts w:ascii="Arial" w:hAnsi="Arial" w:hint="default"/>
      </w:rPr>
    </w:lvl>
    <w:lvl w:ilvl="5" w:tplc="9CCCD12E" w:tentative="1">
      <w:start w:val="1"/>
      <w:numFmt w:val="bullet"/>
      <w:lvlText w:val="•"/>
      <w:lvlJc w:val="left"/>
      <w:pPr>
        <w:tabs>
          <w:tab w:val="num" w:pos="4320"/>
        </w:tabs>
        <w:ind w:left="4320" w:hanging="360"/>
      </w:pPr>
      <w:rPr>
        <w:rFonts w:ascii="Arial" w:hAnsi="Arial" w:hint="default"/>
      </w:rPr>
    </w:lvl>
    <w:lvl w:ilvl="6" w:tplc="6C78BABC" w:tentative="1">
      <w:start w:val="1"/>
      <w:numFmt w:val="bullet"/>
      <w:lvlText w:val="•"/>
      <w:lvlJc w:val="left"/>
      <w:pPr>
        <w:tabs>
          <w:tab w:val="num" w:pos="5040"/>
        </w:tabs>
        <w:ind w:left="5040" w:hanging="360"/>
      </w:pPr>
      <w:rPr>
        <w:rFonts w:ascii="Arial" w:hAnsi="Arial" w:hint="default"/>
      </w:rPr>
    </w:lvl>
    <w:lvl w:ilvl="7" w:tplc="30523AB0" w:tentative="1">
      <w:start w:val="1"/>
      <w:numFmt w:val="bullet"/>
      <w:lvlText w:val="•"/>
      <w:lvlJc w:val="left"/>
      <w:pPr>
        <w:tabs>
          <w:tab w:val="num" w:pos="5760"/>
        </w:tabs>
        <w:ind w:left="5760" w:hanging="360"/>
      </w:pPr>
      <w:rPr>
        <w:rFonts w:ascii="Arial" w:hAnsi="Arial" w:hint="default"/>
      </w:rPr>
    </w:lvl>
    <w:lvl w:ilvl="8" w:tplc="EEB2E6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3E61C0"/>
    <w:multiLevelType w:val="hybridMultilevel"/>
    <w:tmpl w:val="7EBC5F62"/>
    <w:lvl w:ilvl="0" w:tplc="CA5E16A4">
      <w:start w:val="1"/>
      <w:numFmt w:val="bullet"/>
      <w:lvlText w:val="•"/>
      <w:lvlJc w:val="left"/>
      <w:pPr>
        <w:tabs>
          <w:tab w:val="num" w:pos="720"/>
        </w:tabs>
        <w:ind w:left="720" w:hanging="360"/>
      </w:pPr>
      <w:rPr>
        <w:rFonts w:ascii="Arial" w:hAnsi="Arial" w:hint="default"/>
      </w:rPr>
    </w:lvl>
    <w:lvl w:ilvl="1" w:tplc="FF10CE2C">
      <w:numFmt w:val="bullet"/>
      <w:lvlText w:val="–"/>
      <w:lvlJc w:val="left"/>
      <w:pPr>
        <w:tabs>
          <w:tab w:val="num" w:pos="1440"/>
        </w:tabs>
        <w:ind w:left="1440" w:hanging="360"/>
      </w:pPr>
      <w:rPr>
        <w:rFonts w:ascii="Arial" w:hAnsi="Arial" w:hint="default"/>
      </w:rPr>
    </w:lvl>
    <w:lvl w:ilvl="2" w:tplc="254C616C" w:tentative="1">
      <w:start w:val="1"/>
      <w:numFmt w:val="bullet"/>
      <w:lvlText w:val="•"/>
      <w:lvlJc w:val="left"/>
      <w:pPr>
        <w:tabs>
          <w:tab w:val="num" w:pos="2160"/>
        </w:tabs>
        <w:ind w:left="2160" w:hanging="360"/>
      </w:pPr>
      <w:rPr>
        <w:rFonts w:ascii="Arial" w:hAnsi="Arial" w:hint="default"/>
      </w:rPr>
    </w:lvl>
    <w:lvl w:ilvl="3" w:tplc="E9587036" w:tentative="1">
      <w:start w:val="1"/>
      <w:numFmt w:val="bullet"/>
      <w:lvlText w:val="•"/>
      <w:lvlJc w:val="left"/>
      <w:pPr>
        <w:tabs>
          <w:tab w:val="num" w:pos="2880"/>
        </w:tabs>
        <w:ind w:left="2880" w:hanging="360"/>
      </w:pPr>
      <w:rPr>
        <w:rFonts w:ascii="Arial" w:hAnsi="Arial" w:hint="default"/>
      </w:rPr>
    </w:lvl>
    <w:lvl w:ilvl="4" w:tplc="4BAC8836" w:tentative="1">
      <w:start w:val="1"/>
      <w:numFmt w:val="bullet"/>
      <w:lvlText w:val="•"/>
      <w:lvlJc w:val="left"/>
      <w:pPr>
        <w:tabs>
          <w:tab w:val="num" w:pos="3600"/>
        </w:tabs>
        <w:ind w:left="3600" w:hanging="360"/>
      </w:pPr>
      <w:rPr>
        <w:rFonts w:ascii="Arial" w:hAnsi="Arial" w:hint="default"/>
      </w:rPr>
    </w:lvl>
    <w:lvl w:ilvl="5" w:tplc="FB5C839C" w:tentative="1">
      <w:start w:val="1"/>
      <w:numFmt w:val="bullet"/>
      <w:lvlText w:val="•"/>
      <w:lvlJc w:val="left"/>
      <w:pPr>
        <w:tabs>
          <w:tab w:val="num" w:pos="4320"/>
        </w:tabs>
        <w:ind w:left="4320" w:hanging="360"/>
      </w:pPr>
      <w:rPr>
        <w:rFonts w:ascii="Arial" w:hAnsi="Arial" w:hint="default"/>
      </w:rPr>
    </w:lvl>
    <w:lvl w:ilvl="6" w:tplc="74DA3152" w:tentative="1">
      <w:start w:val="1"/>
      <w:numFmt w:val="bullet"/>
      <w:lvlText w:val="•"/>
      <w:lvlJc w:val="left"/>
      <w:pPr>
        <w:tabs>
          <w:tab w:val="num" w:pos="5040"/>
        </w:tabs>
        <w:ind w:left="5040" w:hanging="360"/>
      </w:pPr>
      <w:rPr>
        <w:rFonts w:ascii="Arial" w:hAnsi="Arial" w:hint="default"/>
      </w:rPr>
    </w:lvl>
    <w:lvl w:ilvl="7" w:tplc="9AEA85C0" w:tentative="1">
      <w:start w:val="1"/>
      <w:numFmt w:val="bullet"/>
      <w:lvlText w:val="•"/>
      <w:lvlJc w:val="left"/>
      <w:pPr>
        <w:tabs>
          <w:tab w:val="num" w:pos="5760"/>
        </w:tabs>
        <w:ind w:left="5760" w:hanging="360"/>
      </w:pPr>
      <w:rPr>
        <w:rFonts w:ascii="Arial" w:hAnsi="Arial" w:hint="default"/>
      </w:rPr>
    </w:lvl>
    <w:lvl w:ilvl="8" w:tplc="7CAEC08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7C97F81"/>
    <w:multiLevelType w:val="hybridMultilevel"/>
    <w:tmpl w:val="8EF82AEC"/>
    <w:lvl w:ilvl="0" w:tplc="C3763B82">
      <w:start w:val="1"/>
      <w:numFmt w:val="bullet"/>
      <w:lvlText w:val=""/>
      <w:lvlJc w:val="left"/>
      <w:pPr>
        <w:ind w:left="720" w:hanging="360"/>
      </w:pPr>
      <w:rPr>
        <w:rFonts w:ascii="Arial"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417FD7"/>
    <w:multiLevelType w:val="hybridMultilevel"/>
    <w:tmpl w:val="6212C8A4"/>
    <w:lvl w:ilvl="0" w:tplc="ED42C5F8">
      <w:start w:val="1"/>
      <w:numFmt w:val="bullet"/>
      <w:lvlText w:val="•"/>
      <w:lvlJc w:val="left"/>
      <w:pPr>
        <w:tabs>
          <w:tab w:val="num" w:pos="720"/>
        </w:tabs>
        <w:ind w:left="720" w:hanging="360"/>
      </w:pPr>
      <w:rPr>
        <w:rFonts w:ascii="Arial" w:hAnsi="Arial" w:hint="default"/>
      </w:rPr>
    </w:lvl>
    <w:lvl w:ilvl="1" w:tplc="489C1D58" w:tentative="1">
      <w:start w:val="1"/>
      <w:numFmt w:val="bullet"/>
      <w:lvlText w:val="•"/>
      <w:lvlJc w:val="left"/>
      <w:pPr>
        <w:tabs>
          <w:tab w:val="num" w:pos="1440"/>
        </w:tabs>
        <w:ind w:left="1440" w:hanging="360"/>
      </w:pPr>
      <w:rPr>
        <w:rFonts w:ascii="Arial" w:hAnsi="Arial" w:hint="default"/>
      </w:rPr>
    </w:lvl>
    <w:lvl w:ilvl="2" w:tplc="1B18B6B0" w:tentative="1">
      <w:start w:val="1"/>
      <w:numFmt w:val="bullet"/>
      <w:lvlText w:val="•"/>
      <w:lvlJc w:val="left"/>
      <w:pPr>
        <w:tabs>
          <w:tab w:val="num" w:pos="2160"/>
        </w:tabs>
        <w:ind w:left="2160" w:hanging="360"/>
      </w:pPr>
      <w:rPr>
        <w:rFonts w:ascii="Arial" w:hAnsi="Arial" w:hint="default"/>
      </w:rPr>
    </w:lvl>
    <w:lvl w:ilvl="3" w:tplc="061CC05A" w:tentative="1">
      <w:start w:val="1"/>
      <w:numFmt w:val="bullet"/>
      <w:lvlText w:val="•"/>
      <w:lvlJc w:val="left"/>
      <w:pPr>
        <w:tabs>
          <w:tab w:val="num" w:pos="2880"/>
        </w:tabs>
        <w:ind w:left="2880" w:hanging="360"/>
      </w:pPr>
      <w:rPr>
        <w:rFonts w:ascii="Arial" w:hAnsi="Arial" w:hint="default"/>
      </w:rPr>
    </w:lvl>
    <w:lvl w:ilvl="4" w:tplc="B2E224A6" w:tentative="1">
      <w:start w:val="1"/>
      <w:numFmt w:val="bullet"/>
      <w:lvlText w:val="•"/>
      <w:lvlJc w:val="left"/>
      <w:pPr>
        <w:tabs>
          <w:tab w:val="num" w:pos="3600"/>
        </w:tabs>
        <w:ind w:left="3600" w:hanging="360"/>
      </w:pPr>
      <w:rPr>
        <w:rFonts w:ascii="Arial" w:hAnsi="Arial" w:hint="default"/>
      </w:rPr>
    </w:lvl>
    <w:lvl w:ilvl="5" w:tplc="55421B7A" w:tentative="1">
      <w:start w:val="1"/>
      <w:numFmt w:val="bullet"/>
      <w:lvlText w:val="•"/>
      <w:lvlJc w:val="left"/>
      <w:pPr>
        <w:tabs>
          <w:tab w:val="num" w:pos="4320"/>
        </w:tabs>
        <w:ind w:left="4320" w:hanging="360"/>
      </w:pPr>
      <w:rPr>
        <w:rFonts w:ascii="Arial" w:hAnsi="Arial" w:hint="default"/>
      </w:rPr>
    </w:lvl>
    <w:lvl w:ilvl="6" w:tplc="5AD2B574" w:tentative="1">
      <w:start w:val="1"/>
      <w:numFmt w:val="bullet"/>
      <w:lvlText w:val="•"/>
      <w:lvlJc w:val="left"/>
      <w:pPr>
        <w:tabs>
          <w:tab w:val="num" w:pos="5040"/>
        </w:tabs>
        <w:ind w:left="5040" w:hanging="360"/>
      </w:pPr>
      <w:rPr>
        <w:rFonts w:ascii="Arial" w:hAnsi="Arial" w:hint="default"/>
      </w:rPr>
    </w:lvl>
    <w:lvl w:ilvl="7" w:tplc="9230BA04" w:tentative="1">
      <w:start w:val="1"/>
      <w:numFmt w:val="bullet"/>
      <w:lvlText w:val="•"/>
      <w:lvlJc w:val="left"/>
      <w:pPr>
        <w:tabs>
          <w:tab w:val="num" w:pos="5760"/>
        </w:tabs>
        <w:ind w:left="5760" w:hanging="360"/>
      </w:pPr>
      <w:rPr>
        <w:rFonts w:ascii="Arial" w:hAnsi="Arial" w:hint="default"/>
      </w:rPr>
    </w:lvl>
    <w:lvl w:ilvl="8" w:tplc="B43633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CF957F5"/>
    <w:multiLevelType w:val="hybridMultilevel"/>
    <w:tmpl w:val="3EF832FA"/>
    <w:lvl w:ilvl="0" w:tplc="F6744872">
      <w:start w:val="1"/>
      <w:numFmt w:val="bullet"/>
      <w:lvlText w:val="•"/>
      <w:lvlJc w:val="left"/>
      <w:pPr>
        <w:tabs>
          <w:tab w:val="num" w:pos="720"/>
        </w:tabs>
        <w:ind w:left="720" w:hanging="360"/>
      </w:pPr>
      <w:rPr>
        <w:rFonts w:ascii="Arial" w:hAnsi="Arial" w:hint="default"/>
      </w:rPr>
    </w:lvl>
    <w:lvl w:ilvl="1" w:tplc="9B86D66A" w:tentative="1">
      <w:start w:val="1"/>
      <w:numFmt w:val="bullet"/>
      <w:lvlText w:val="•"/>
      <w:lvlJc w:val="left"/>
      <w:pPr>
        <w:tabs>
          <w:tab w:val="num" w:pos="1440"/>
        </w:tabs>
        <w:ind w:left="1440" w:hanging="360"/>
      </w:pPr>
      <w:rPr>
        <w:rFonts w:ascii="Arial" w:hAnsi="Arial" w:hint="default"/>
      </w:rPr>
    </w:lvl>
    <w:lvl w:ilvl="2" w:tplc="1DB63A0E" w:tentative="1">
      <w:start w:val="1"/>
      <w:numFmt w:val="bullet"/>
      <w:lvlText w:val="•"/>
      <w:lvlJc w:val="left"/>
      <w:pPr>
        <w:tabs>
          <w:tab w:val="num" w:pos="2160"/>
        </w:tabs>
        <w:ind w:left="2160" w:hanging="360"/>
      </w:pPr>
      <w:rPr>
        <w:rFonts w:ascii="Arial" w:hAnsi="Arial" w:hint="default"/>
      </w:rPr>
    </w:lvl>
    <w:lvl w:ilvl="3" w:tplc="7F321338" w:tentative="1">
      <w:start w:val="1"/>
      <w:numFmt w:val="bullet"/>
      <w:lvlText w:val="•"/>
      <w:lvlJc w:val="left"/>
      <w:pPr>
        <w:tabs>
          <w:tab w:val="num" w:pos="2880"/>
        </w:tabs>
        <w:ind w:left="2880" w:hanging="360"/>
      </w:pPr>
      <w:rPr>
        <w:rFonts w:ascii="Arial" w:hAnsi="Arial" w:hint="default"/>
      </w:rPr>
    </w:lvl>
    <w:lvl w:ilvl="4" w:tplc="887099FE" w:tentative="1">
      <w:start w:val="1"/>
      <w:numFmt w:val="bullet"/>
      <w:lvlText w:val="•"/>
      <w:lvlJc w:val="left"/>
      <w:pPr>
        <w:tabs>
          <w:tab w:val="num" w:pos="3600"/>
        </w:tabs>
        <w:ind w:left="3600" w:hanging="360"/>
      </w:pPr>
      <w:rPr>
        <w:rFonts w:ascii="Arial" w:hAnsi="Arial" w:hint="default"/>
      </w:rPr>
    </w:lvl>
    <w:lvl w:ilvl="5" w:tplc="1A4C20BC" w:tentative="1">
      <w:start w:val="1"/>
      <w:numFmt w:val="bullet"/>
      <w:lvlText w:val="•"/>
      <w:lvlJc w:val="left"/>
      <w:pPr>
        <w:tabs>
          <w:tab w:val="num" w:pos="4320"/>
        </w:tabs>
        <w:ind w:left="4320" w:hanging="360"/>
      </w:pPr>
      <w:rPr>
        <w:rFonts w:ascii="Arial" w:hAnsi="Arial" w:hint="default"/>
      </w:rPr>
    </w:lvl>
    <w:lvl w:ilvl="6" w:tplc="4380E190" w:tentative="1">
      <w:start w:val="1"/>
      <w:numFmt w:val="bullet"/>
      <w:lvlText w:val="•"/>
      <w:lvlJc w:val="left"/>
      <w:pPr>
        <w:tabs>
          <w:tab w:val="num" w:pos="5040"/>
        </w:tabs>
        <w:ind w:left="5040" w:hanging="360"/>
      </w:pPr>
      <w:rPr>
        <w:rFonts w:ascii="Arial" w:hAnsi="Arial" w:hint="default"/>
      </w:rPr>
    </w:lvl>
    <w:lvl w:ilvl="7" w:tplc="07221CD8" w:tentative="1">
      <w:start w:val="1"/>
      <w:numFmt w:val="bullet"/>
      <w:lvlText w:val="•"/>
      <w:lvlJc w:val="left"/>
      <w:pPr>
        <w:tabs>
          <w:tab w:val="num" w:pos="5760"/>
        </w:tabs>
        <w:ind w:left="5760" w:hanging="360"/>
      </w:pPr>
      <w:rPr>
        <w:rFonts w:ascii="Arial" w:hAnsi="Arial" w:hint="default"/>
      </w:rPr>
    </w:lvl>
    <w:lvl w:ilvl="8" w:tplc="05A6F0D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9F91163"/>
    <w:multiLevelType w:val="hybridMultilevel"/>
    <w:tmpl w:val="75526A1A"/>
    <w:lvl w:ilvl="0" w:tplc="E2627952">
      <w:start w:val="1"/>
      <w:numFmt w:val="bullet"/>
      <w:lvlText w:val="•"/>
      <w:lvlJc w:val="left"/>
      <w:pPr>
        <w:tabs>
          <w:tab w:val="num" w:pos="720"/>
        </w:tabs>
        <w:ind w:left="720" w:hanging="360"/>
      </w:pPr>
      <w:rPr>
        <w:rFonts w:ascii="Arial" w:hAnsi="Arial" w:hint="default"/>
      </w:rPr>
    </w:lvl>
    <w:lvl w:ilvl="1" w:tplc="D556D09A" w:tentative="1">
      <w:start w:val="1"/>
      <w:numFmt w:val="bullet"/>
      <w:lvlText w:val="•"/>
      <w:lvlJc w:val="left"/>
      <w:pPr>
        <w:tabs>
          <w:tab w:val="num" w:pos="1440"/>
        </w:tabs>
        <w:ind w:left="1440" w:hanging="360"/>
      </w:pPr>
      <w:rPr>
        <w:rFonts w:ascii="Arial" w:hAnsi="Arial" w:hint="default"/>
      </w:rPr>
    </w:lvl>
    <w:lvl w:ilvl="2" w:tplc="278C84A0" w:tentative="1">
      <w:start w:val="1"/>
      <w:numFmt w:val="bullet"/>
      <w:lvlText w:val="•"/>
      <w:lvlJc w:val="left"/>
      <w:pPr>
        <w:tabs>
          <w:tab w:val="num" w:pos="2160"/>
        </w:tabs>
        <w:ind w:left="2160" w:hanging="360"/>
      </w:pPr>
      <w:rPr>
        <w:rFonts w:ascii="Arial" w:hAnsi="Arial" w:hint="default"/>
      </w:rPr>
    </w:lvl>
    <w:lvl w:ilvl="3" w:tplc="89D63E70" w:tentative="1">
      <w:start w:val="1"/>
      <w:numFmt w:val="bullet"/>
      <w:lvlText w:val="•"/>
      <w:lvlJc w:val="left"/>
      <w:pPr>
        <w:tabs>
          <w:tab w:val="num" w:pos="2880"/>
        </w:tabs>
        <w:ind w:left="2880" w:hanging="360"/>
      </w:pPr>
      <w:rPr>
        <w:rFonts w:ascii="Arial" w:hAnsi="Arial" w:hint="default"/>
      </w:rPr>
    </w:lvl>
    <w:lvl w:ilvl="4" w:tplc="A7783044" w:tentative="1">
      <w:start w:val="1"/>
      <w:numFmt w:val="bullet"/>
      <w:lvlText w:val="•"/>
      <w:lvlJc w:val="left"/>
      <w:pPr>
        <w:tabs>
          <w:tab w:val="num" w:pos="3600"/>
        </w:tabs>
        <w:ind w:left="3600" w:hanging="360"/>
      </w:pPr>
      <w:rPr>
        <w:rFonts w:ascii="Arial" w:hAnsi="Arial" w:hint="default"/>
      </w:rPr>
    </w:lvl>
    <w:lvl w:ilvl="5" w:tplc="2690BC9A" w:tentative="1">
      <w:start w:val="1"/>
      <w:numFmt w:val="bullet"/>
      <w:lvlText w:val="•"/>
      <w:lvlJc w:val="left"/>
      <w:pPr>
        <w:tabs>
          <w:tab w:val="num" w:pos="4320"/>
        </w:tabs>
        <w:ind w:left="4320" w:hanging="360"/>
      </w:pPr>
      <w:rPr>
        <w:rFonts w:ascii="Arial" w:hAnsi="Arial" w:hint="default"/>
      </w:rPr>
    </w:lvl>
    <w:lvl w:ilvl="6" w:tplc="D836474C" w:tentative="1">
      <w:start w:val="1"/>
      <w:numFmt w:val="bullet"/>
      <w:lvlText w:val="•"/>
      <w:lvlJc w:val="left"/>
      <w:pPr>
        <w:tabs>
          <w:tab w:val="num" w:pos="5040"/>
        </w:tabs>
        <w:ind w:left="5040" w:hanging="360"/>
      </w:pPr>
      <w:rPr>
        <w:rFonts w:ascii="Arial" w:hAnsi="Arial" w:hint="default"/>
      </w:rPr>
    </w:lvl>
    <w:lvl w:ilvl="7" w:tplc="9DC05900" w:tentative="1">
      <w:start w:val="1"/>
      <w:numFmt w:val="bullet"/>
      <w:lvlText w:val="•"/>
      <w:lvlJc w:val="left"/>
      <w:pPr>
        <w:tabs>
          <w:tab w:val="num" w:pos="5760"/>
        </w:tabs>
        <w:ind w:left="5760" w:hanging="360"/>
      </w:pPr>
      <w:rPr>
        <w:rFonts w:ascii="Arial" w:hAnsi="Arial" w:hint="default"/>
      </w:rPr>
    </w:lvl>
    <w:lvl w:ilvl="8" w:tplc="E94EF89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CE81CE2"/>
    <w:multiLevelType w:val="hybridMultilevel"/>
    <w:tmpl w:val="A8207750"/>
    <w:lvl w:ilvl="0" w:tplc="AB24036E">
      <w:start w:val="1"/>
      <w:numFmt w:val="bullet"/>
      <w:lvlText w:val="•"/>
      <w:lvlJc w:val="left"/>
      <w:pPr>
        <w:tabs>
          <w:tab w:val="num" w:pos="720"/>
        </w:tabs>
        <w:ind w:left="720" w:hanging="360"/>
      </w:pPr>
      <w:rPr>
        <w:rFonts w:ascii="Arial" w:hAnsi="Arial" w:hint="default"/>
      </w:rPr>
    </w:lvl>
    <w:lvl w:ilvl="1" w:tplc="EB5024B6" w:tentative="1">
      <w:start w:val="1"/>
      <w:numFmt w:val="bullet"/>
      <w:lvlText w:val="•"/>
      <w:lvlJc w:val="left"/>
      <w:pPr>
        <w:tabs>
          <w:tab w:val="num" w:pos="1440"/>
        </w:tabs>
        <w:ind w:left="1440" w:hanging="360"/>
      </w:pPr>
      <w:rPr>
        <w:rFonts w:ascii="Arial" w:hAnsi="Arial" w:hint="default"/>
      </w:rPr>
    </w:lvl>
    <w:lvl w:ilvl="2" w:tplc="9DDA3152" w:tentative="1">
      <w:start w:val="1"/>
      <w:numFmt w:val="bullet"/>
      <w:lvlText w:val="•"/>
      <w:lvlJc w:val="left"/>
      <w:pPr>
        <w:tabs>
          <w:tab w:val="num" w:pos="2160"/>
        </w:tabs>
        <w:ind w:left="2160" w:hanging="360"/>
      </w:pPr>
      <w:rPr>
        <w:rFonts w:ascii="Arial" w:hAnsi="Arial" w:hint="default"/>
      </w:rPr>
    </w:lvl>
    <w:lvl w:ilvl="3" w:tplc="A55C4E70" w:tentative="1">
      <w:start w:val="1"/>
      <w:numFmt w:val="bullet"/>
      <w:lvlText w:val="•"/>
      <w:lvlJc w:val="left"/>
      <w:pPr>
        <w:tabs>
          <w:tab w:val="num" w:pos="2880"/>
        </w:tabs>
        <w:ind w:left="2880" w:hanging="360"/>
      </w:pPr>
      <w:rPr>
        <w:rFonts w:ascii="Arial" w:hAnsi="Arial" w:hint="default"/>
      </w:rPr>
    </w:lvl>
    <w:lvl w:ilvl="4" w:tplc="A79456A6" w:tentative="1">
      <w:start w:val="1"/>
      <w:numFmt w:val="bullet"/>
      <w:lvlText w:val="•"/>
      <w:lvlJc w:val="left"/>
      <w:pPr>
        <w:tabs>
          <w:tab w:val="num" w:pos="3600"/>
        </w:tabs>
        <w:ind w:left="3600" w:hanging="360"/>
      </w:pPr>
      <w:rPr>
        <w:rFonts w:ascii="Arial" w:hAnsi="Arial" w:hint="default"/>
      </w:rPr>
    </w:lvl>
    <w:lvl w:ilvl="5" w:tplc="AAC2722A" w:tentative="1">
      <w:start w:val="1"/>
      <w:numFmt w:val="bullet"/>
      <w:lvlText w:val="•"/>
      <w:lvlJc w:val="left"/>
      <w:pPr>
        <w:tabs>
          <w:tab w:val="num" w:pos="4320"/>
        </w:tabs>
        <w:ind w:left="4320" w:hanging="360"/>
      </w:pPr>
      <w:rPr>
        <w:rFonts w:ascii="Arial" w:hAnsi="Arial" w:hint="default"/>
      </w:rPr>
    </w:lvl>
    <w:lvl w:ilvl="6" w:tplc="403CA26E" w:tentative="1">
      <w:start w:val="1"/>
      <w:numFmt w:val="bullet"/>
      <w:lvlText w:val="•"/>
      <w:lvlJc w:val="left"/>
      <w:pPr>
        <w:tabs>
          <w:tab w:val="num" w:pos="5040"/>
        </w:tabs>
        <w:ind w:left="5040" w:hanging="360"/>
      </w:pPr>
      <w:rPr>
        <w:rFonts w:ascii="Arial" w:hAnsi="Arial" w:hint="default"/>
      </w:rPr>
    </w:lvl>
    <w:lvl w:ilvl="7" w:tplc="F3D86B6A" w:tentative="1">
      <w:start w:val="1"/>
      <w:numFmt w:val="bullet"/>
      <w:lvlText w:val="•"/>
      <w:lvlJc w:val="left"/>
      <w:pPr>
        <w:tabs>
          <w:tab w:val="num" w:pos="5760"/>
        </w:tabs>
        <w:ind w:left="5760" w:hanging="360"/>
      </w:pPr>
      <w:rPr>
        <w:rFonts w:ascii="Arial" w:hAnsi="Arial" w:hint="default"/>
      </w:rPr>
    </w:lvl>
    <w:lvl w:ilvl="8" w:tplc="44B8DB1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2000813"/>
    <w:multiLevelType w:val="hybridMultilevel"/>
    <w:tmpl w:val="FBD48516"/>
    <w:lvl w:ilvl="0" w:tplc="33FE1F66">
      <w:start w:val="1"/>
      <w:numFmt w:val="bullet"/>
      <w:lvlText w:val="•"/>
      <w:lvlJc w:val="left"/>
      <w:pPr>
        <w:tabs>
          <w:tab w:val="num" w:pos="720"/>
        </w:tabs>
        <w:ind w:left="720" w:hanging="360"/>
      </w:pPr>
      <w:rPr>
        <w:rFonts w:ascii="Arial" w:hAnsi="Arial" w:hint="default"/>
      </w:rPr>
    </w:lvl>
    <w:lvl w:ilvl="1" w:tplc="D5280F44" w:tentative="1">
      <w:start w:val="1"/>
      <w:numFmt w:val="bullet"/>
      <w:lvlText w:val="•"/>
      <w:lvlJc w:val="left"/>
      <w:pPr>
        <w:tabs>
          <w:tab w:val="num" w:pos="1440"/>
        </w:tabs>
        <w:ind w:left="1440" w:hanging="360"/>
      </w:pPr>
      <w:rPr>
        <w:rFonts w:ascii="Arial" w:hAnsi="Arial" w:hint="default"/>
      </w:rPr>
    </w:lvl>
    <w:lvl w:ilvl="2" w:tplc="26FCD954" w:tentative="1">
      <w:start w:val="1"/>
      <w:numFmt w:val="bullet"/>
      <w:lvlText w:val="•"/>
      <w:lvlJc w:val="left"/>
      <w:pPr>
        <w:tabs>
          <w:tab w:val="num" w:pos="2160"/>
        </w:tabs>
        <w:ind w:left="2160" w:hanging="360"/>
      </w:pPr>
      <w:rPr>
        <w:rFonts w:ascii="Arial" w:hAnsi="Arial" w:hint="default"/>
      </w:rPr>
    </w:lvl>
    <w:lvl w:ilvl="3" w:tplc="1CEC0F5C" w:tentative="1">
      <w:start w:val="1"/>
      <w:numFmt w:val="bullet"/>
      <w:lvlText w:val="•"/>
      <w:lvlJc w:val="left"/>
      <w:pPr>
        <w:tabs>
          <w:tab w:val="num" w:pos="2880"/>
        </w:tabs>
        <w:ind w:left="2880" w:hanging="360"/>
      </w:pPr>
      <w:rPr>
        <w:rFonts w:ascii="Arial" w:hAnsi="Arial" w:hint="default"/>
      </w:rPr>
    </w:lvl>
    <w:lvl w:ilvl="4" w:tplc="A776F10E" w:tentative="1">
      <w:start w:val="1"/>
      <w:numFmt w:val="bullet"/>
      <w:lvlText w:val="•"/>
      <w:lvlJc w:val="left"/>
      <w:pPr>
        <w:tabs>
          <w:tab w:val="num" w:pos="3600"/>
        </w:tabs>
        <w:ind w:left="3600" w:hanging="360"/>
      </w:pPr>
      <w:rPr>
        <w:rFonts w:ascii="Arial" w:hAnsi="Arial" w:hint="default"/>
      </w:rPr>
    </w:lvl>
    <w:lvl w:ilvl="5" w:tplc="4C280284" w:tentative="1">
      <w:start w:val="1"/>
      <w:numFmt w:val="bullet"/>
      <w:lvlText w:val="•"/>
      <w:lvlJc w:val="left"/>
      <w:pPr>
        <w:tabs>
          <w:tab w:val="num" w:pos="4320"/>
        </w:tabs>
        <w:ind w:left="4320" w:hanging="360"/>
      </w:pPr>
      <w:rPr>
        <w:rFonts w:ascii="Arial" w:hAnsi="Arial" w:hint="default"/>
      </w:rPr>
    </w:lvl>
    <w:lvl w:ilvl="6" w:tplc="EA066BA8" w:tentative="1">
      <w:start w:val="1"/>
      <w:numFmt w:val="bullet"/>
      <w:lvlText w:val="•"/>
      <w:lvlJc w:val="left"/>
      <w:pPr>
        <w:tabs>
          <w:tab w:val="num" w:pos="5040"/>
        </w:tabs>
        <w:ind w:left="5040" w:hanging="360"/>
      </w:pPr>
      <w:rPr>
        <w:rFonts w:ascii="Arial" w:hAnsi="Arial" w:hint="default"/>
      </w:rPr>
    </w:lvl>
    <w:lvl w:ilvl="7" w:tplc="913C4A16" w:tentative="1">
      <w:start w:val="1"/>
      <w:numFmt w:val="bullet"/>
      <w:lvlText w:val="•"/>
      <w:lvlJc w:val="left"/>
      <w:pPr>
        <w:tabs>
          <w:tab w:val="num" w:pos="5760"/>
        </w:tabs>
        <w:ind w:left="5760" w:hanging="360"/>
      </w:pPr>
      <w:rPr>
        <w:rFonts w:ascii="Arial" w:hAnsi="Arial" w:hint="default"/>
      </w:rPr>
    </w:lvl>
    <w:lvl w:ilvl="8" w:tplc="8DD25A5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9D80D23"/>
    <w:multiLevelType w:val="hybridMultilevel"/>
    <w:tmpl w:val="B8A04274"/>
    <w:lvl w:ilvl="0" w:tplc="C3763B82">
      <w:start w:val="1"/>
      <w:numFmt w:val="bullet"/>
      <w:lvlText w:val=""/>
      <w:lvlJc w:val="left"/>
      <w:pPr>
        <w:ind w:left="720" w:hanging="360"/>
      </w:pPr>
      <w:rPr>
        <w:rFonts w:ascii="Arial"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137A75"/>
    <w:multiLevelType w:val="hybridMultilevel"/>
    <w:tmpl w:val="5C6055D6"/>
    <w:lvl w:ilvl="0" w:tplc="541E52EA">
      <w:start w:val="1"/>
      <w:numFmt w:val="bullet"/>
      <w:lvlText w:val="•"/>
      <w:lvlJc w:val="left"/>
      <w:pPr>
        <w:tabs>
          <w:tab w:val="num" w:pos="720"/>
        </w:tabs>
        <w:ind w:left="720" w:hanging="360"/>
      </w:pPr>
      <w:rPr>
        <w:rFonts w:ascii="Arial" w:hAnsi="Arial" w:hint="default"/>
      </w:rPr>
    </w:lvl>
    <w:lvl w:ilvl="1" w:tplc="66C88E02" w:tentative="1">
      <w:start w:val="1"/>
      <w:numFmt w:val="bullet"/>
      <w:lvlText w:val="•"/>
      <w:lvlJc w:val="left"/>
      <w:pPr>
        <w:tabs>
          <w:tab w:val="num" w:pos="1440"/>
        </w:tabs>
        <w:ind w:left="1440" w:hanging="360"/>
      </w:pPr>
      <w:rPr>
        <w:rFonts w:ascii="Arial" w:hAnsi="Arial" w:hint="default"/>
      </w:rPr>
    </w:lvl>
    <w:lvl w:ilvl="2" w:tplc="4A586694" w:tentative="1">
      <w:start w:val="1"/>
      <w:numFmt w:val="bullet"/>
      <w:lvlText w:val="•"/>
      <w:lvlJc w:val="left"/>
      <w:pPr>
        <w:tabs>
          <w:tab w:val="num" w:pos="2160"/>
        </w:tabs>
        <w:ind w:left="2160" w:hanging="360"/>
      </w:pPr>
      <w:rPr>
        <w:rFonts w:ascii="Arial" w:hAnsi="Arial" w:hint="default"/>
      </w:rPr>
    </w:lvl>
    <w:lvl w:ilvl="3" w:tplc="93DE21E8" w:tentative="1">
      <w:start w:val="1"/>
      <w:numFmt w:val="bullet"/>
      <w:lvlText w:val="•"/>
      <w:lvlJc w:val="left"/>
      <w:pPr>
        <w:tabs>
          <w:tab w:val="num" w:pos="2880"/>
        </w:tabs>
        <w:ind w:left="2880" w:hanging="360"/>
      </w:pPr>
      <w:rPr>
        <w:rFonts w:ascii="Arial" w:hAnsi="Arial" w:hint="default"/>
      </w:rPr>
    </w:lvl>
    <w:lvl w:ilvl="4" w:tplc="0B8ECC1E" w:tentative="1">
      <w:start w:val="1"/>
      <w:numFmt w:val="bullet"/>
      <w:lvlText w:val="•"/>
      <w:lvlJc w:val="left"/>
      <w:pPr>
        <w:tabs>
          <w:tab w:val="num" w:pos="3600"/>
        </w:tabs>
        <w:ind w:left="3600" w:hanging="360"/>
      </w:pPr>
      <w:rPr>
        <w:rFonts w:ascii="Arial" w:hAnsi="Arial" w:hint="default"/>
      </w:rPr>
    </w:lvl>
    <w:lvl w:ilvl="5" w:tplc="51F6CE84" w:tentative="1">
      <w:start w:val="1"/>
      <w:numFmt w:val="bullet"/>
      <w:lvlText w:val="•"/>
      <w:lvlJc w:val="left"/>
      <w:pPr>
        <w:tabs>
          <w:tab w:val="num" w:pos="4320"/>
        </w:tabs>
        <w:ind w:left="4320" w:hanging="360"/>
      </w:pPr>
      <w:rPr>
        <w:rFonts w:ascii="Arial" w:hAnsi="Arial" w:hint="default"/>
      </w:rPr>
    </w:lvl>
    <w:lvl w:ilvl="6" w:tplc="1F0A1DC6" w:tentative="1">
      <w:start w:val="1"/>
      <w:numFmt w:val="bullet"/>
      <w:lvlText w:val="•"/>
      <w:lvlJc w:val="left"/>
      <w:pPr>
        <w:tabs>
          <w:tab w:val="num" w:pos="5040"/>
        </w:tabs>
        <w:ind w:left="5040" w:hanging="360"/>
      </w:pPr>
      <w:rPr>
        <w:rFonts w:ascii="Arial" w:hAnsi="Arial" w:hint="default"/>
      </w:rPr>
    </w:lvl>
    <w:lvl w:ilvl="7" w:tplc="9558BE16" w:tentative="1">
      <w:start w:val="1"/>
      <w:numFmt w:val="bullet"/>
      <w:lvlText w:val="•"/>
      <w:lvlJc w:val="left"/>
      <w:pPr>
        <w:tabs>
          <w:tab w:val="num" w:pos="5760"/>
        </w:tabs>
        <w:ind w:left="5760" w:hanging="360"/>
      </w:pPr>
      <w:rPr>
        <w:rFonts w:ascii="Arial" w:hAnsi="Arial" w:hint="default"/>
      </w:rPr>
    </w:lvl>
    <w:lvl w:ilvl="8" w:tplc="D58A9E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1744429"/>
    <w:multiLevelType w:val="hybridMultilevel"/>
    <w:tmpl w:val="24D20CF4"/>
    <w:lvl w:ilvl="0" w:tplc="67A22478">
      <w:start w:val="1"/>
      <w:numFmt w:val="bullet"/>
      <w:lvlText w:val="•"/>
      <w:lvlJc w:val="left"/>
      <w:pPr>
        <w:tabs>
          <w:tab w:val="num" w:pos="720"/>
        </w:tabs>
        <w:ind w:left="720" w:hanging="360"/>
      </w:pPr>
      <w:rPr>
        <w:rFonts w:ascii="Arial" w:hAnsi="Arial" w:hint="default"/>
      </w:rPr>
    </w:lvl>
    <w:lvl w:ilvl="1" w:tplc="531A98F6" w:tentative="1">
      <w:start w:val="1"/>
      <w:numFmt w:val="bullet"/>
      <w:lvlText w:val="•"/>
      <w:lvlJc w:val="left"/>
      <w:pPr>
        <w:tabs>
          <w:tab w:val="num" w:pos="1440"/>
        </w:tabs>
        <w:ind w:left="1440" w:hanging="360"/>
      </w:pPr>
      <w:rPr>
        <w:rFonts w:ascii="Arial" w:hAnsi="Arial" w:hint="default"/>
      </w:rPr>
    </w:lvl>
    <w:lvl w:ilvl="2" w:tplc="B3DEDA5C" w:tentative="1">
      <w:start w:val="1"/>
      <w:numFmt w:val="bullet"/>
      <w:lvlText w:val="•"/>
      <w:lvlJc w:val="left"/>
      <w:pPr>
        <w:tabs>
          <w:tab w:val="num" w:pos="2160"/>
        </w:tabs>
        <w:ind w:left="2160" w:hanging="360"/>
      </w:pPr>
      <w:rPr>
        <w:rFonts w:ascii="Arial" w:hAnsi="Arial" w:hint="default"/>
      </w:rPr>
    </w:lvl>
    <w:lvl w:ilvl="3" w:tplc="9C781E60" w:tentative="1">
      <w:start w:val="1"/>
      <w:numFmt w:val="bullet"/>
      <w:lvlText w:val="•"/>
      <w:lvlJc w:val="left"/>
      <w:pPr>
        <w:tabs>
          <w:tab w:val="num" w:pos="2880"/>
        </w:tabs>
        <w:ind w:left="2880" w:hanging="360"/>
      </w:pPr>
      <w:rPr>
        <w:rFonts w:ascii="Arial" w:hAnsi="Arial" w:hint="default"/>
      </w:rPr>
    </w:lvl>
    <w:lvl w:ilvl="4" w:tplc="CC52DDB0" w:tentative="1">
      <w:start w:val="1"/>
      <w:numFmt w:val="bullet"/>
      <w:lvlText w:val="•"/>
      <w:lvlJc w:val="left"/>
      <w:pPr>
        <w:tabs>
          <w:tab w:val="num" w:pos="3600"/>
        </w:tabs>
        <w:ind w:left="3600" w:hanging="360"/>
      </w:pPr>
      <w:rPr>
        <w:rFonts w:ascii="Arial" w:hAnsi="Arial" w:hint="default"/>
      </w:rPr>
    </w:lvl>
    <w:lvl w:ilvl="5" w:tplc="246490DA" w:tentative="1">
      <w:start w:val="1"/>
      <w:numFmt w:val="bullet"/>
      <w:lvlText w:val="•"/>
      <w:lvlJc w:val="left"/>
      <w:pPr>
        <w:tabs>
          <w:tab w:val="num" w:pos="4320"/>
        </w:tabs>
        <w:ind w:left="4320" w:hanging="360"/>
      </w:pPr>
      <w:rPr>
        <w:rFonts w:ascii="Arial" w:hAnsi="Arial" w:hint="default"/>
      </w:rPr>
    </w:lvl>
    <w:lvl w:ilvl="6" w:tplc="89C49702" w:tentative="1">
      <w:start w:val="1"/>
      <w:numFmt w:val="bullet"/>
      <w:lvlText w:val="•"/>
      <w:lvlJc w:val="left"/>
      <w:pPr>
        <w:tabs>
          <w:tab w:val="num" w:pos="5040"/>
        </w:tabs>
        <w:ind w:left="5040" w:hanging="360"/>
      </w:pPr>
      <w:rPr>
        <w:rFonts w:ascii="Arial" w:hAnsi="Arial" w:hint="default"/>
      </w:rPr>
    </w:lvl>
    <w:lvl w:ilvl="7" w:tplc="93A0F0E6" w:tentative="1">
      <w:start w:val="1"/>
      <w:numFmt w:val="bullet"/>
      <w:lvlText w:val="•"/>
      <w:lvlJc w:val="left"/>
      <w:pPr>
        <w:tabs>
          <w:tab w:val="num" w:pos="5760"/>
        </w:tabs>
        <w:ind w:left="5760" w:hanging="360"/>
      </w:pPr>
      <w:rPr>
        <w:rFonts w:ascii="Arial" w:hAnsi="Arial" w:hint="default"/>
      </w:rPr>
    </w:lvl>
    <w:lvl w:ilvl="8" w:tplc="6532B8D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8AA76E7"/>
    <w:multiLevelType w:val="hybridMultilevel"/>
    <w:tmpl w:val="8D78B084"/>
    <w:lvl w:ilvl="0" w:tplc="66A098C6">
      <w:start w:val="1"/>
      <w:numFmt w:val="bullet"/>
      <w:lvlText w:val="•"/>
      <w:lvlJc w:val="left"/>
      <w:pPr>
        <w:tabs>
          <w:tab w:val="num" w:pos="720"/>
        </w:tabs>
        <w:ind w:left="720" w:hanging="360"/>
      </w:pPr>
      <w:rPr>
        <w:rFonts w:ascii="Arial" w:hAnsi="Arial" w:hint="default"/>
      </w:rPr>
    </w:lvl>
    <w:lvl w:ilvl="1" w:tplc="86980264" w:tentative="1">
      <w:start w:val="1"/>
      <w:numFmt w:val="bullet"/>
      <w:lvlText w:val="•"/>
      <w:lvlJc w:val="left"/>
      <w:pPr>
        <w:tabs>
          <w:tab w:val="num" w:pos="1440"/>
        </w:tabs>
        <w:ind w:left="1440" w:hanging="360"/>
      </w:pPr>
      <w:rPr>
        <w:rFonts w:ascii="Arial" w:hAnsi="Arial" w:hint="default"/>
      </w:rPr>
    </w:lvl>
    <w:lvl w:ilvl="2" w:tplc="F3F6B87C" w:tentative="1">
      <w:start w:val="1"/>
      <w:numFmt w:val="bullet"/>
      <w:lvlText w:val="•"/>
      <w:lvlJc w:val="left"/>
      <w:pPr>
        <w:tabs>
          <w:tab w:val="num" w:pos="2160"/>
        </w:tabs>
        <w:ind w:left="2160" w:hanging="360"/>
      </w:pPr>
      <w:rPr>
        <w:rFonts w:ascii="Arial" w:hAnsi="Arial" w:hint="default"/>
      </w:rPr>
    </w:lvl>
    <w:lvl w:ilvl="3" w:tplc="04128AB0" w:tentative="1">
      <w:start w:val="1"/>
      <w:numFmt w:val="bullet"/>
      <w:lvlText w:val="•"/>
      <w:lvlJc w:val="left"/>
      <w:pPr>
        <w:tabs>
          <w:tab w:val="num" w:pos="2880"/>
        </w:tabs>
        <w:ind w:left="2880" w:hanging="360"/>
      </w:pPr>
      <w:rPr>
        <w:rFonts w:ascii="Arial" w:hAnsi="Arial" w:hint="default"/>
      </w:rPr>
    </w:lvl>
    <w:lvl w:ilvl="4" w:tplc="FB78E374" w:tentative="1">
      <w:start w:val="1"/>
      <w:numFmt w:val="bullet"/>
      <w:lvlText w:val="•"/>
      <w:lvlJc w:val="left"/>
      <w:pPr>
        <w:tabs>
          <w:tab w:val="num" w:pos="3600"/>
        </w:tabs>
        <w:ind w:left="3600" w:hanging="360"/>
      </w:pPr>
      <w:rPr>
        <w:rFonts w:ascii="Arial" w:hAnsi="Arial" w:hint="default"/>
      </w:rPr>
    </w:lvl>
    <w:lvl w:ilvl="5" w:tplc="7E24B83A" w:tentative="1">
      <w:start w:val="1"/>
      <w:numFmt w:val="bullet"/>
      <w:lvlText w:val="•"/>
      <w:lvlJc w:val="left"/>
      <w:pPr>
        <w:tabs>
          <w:tab w:val="num" w:pos="4320"/>
        </w:tabs>
        <w:ind w:left="4320" w:hanging="360"/>
      </w:pPr>
      <w:rPr>
        <w:rFonts w:ascii="Arial" w:hAnsi="Arial" w:hint="default"/>
      </w:rPr>
    </w:lvl>
    <w:lvl w:ilvl="6" w:tplc="3DDC8E7E" w:tentative="1">
      <w:start w:val="1"/>
      <w:numFmt w:val="bullet"/>
      <w:lvlText w:val="•"/>
      <w:lvlJc w:val="left"/>
      <w:pPr>
        <w:tabs>
          <w:tab w:val="num" w:pos="5040"/>
        </w:tabs>
        <w:ind w:left="5040" w:hanging="360"/>
      </w:pPr>
      <w:rPr>
        <w:rFonts w:ascii="Arial" w:hAnsi="Arial" w:hint="default"/>
      </w:rPr>
    </w:lvl>
    <w:lvl w:ilvl="7" w:tplc="0DC47F52" w:tentative="1">
      <w:start w:val="1"/>
      <w:numFmt w:val="bullet"/>
      <w:lvlText w:val="•"/>
      <w:lvlJc w:val="left"/>
      <w:pPr>
        <w:tabs>
          <w:tab w:val="num" w:pos="5760"/>
        </w:tabs>
        <w:ind w:left="5760" w:hanging="360"/>
      </w:pPr>
      <w:rPr>
        <w:rFonts w:ascii="Arial" w:hAnsi="Arial" w:hint="default"/>
      </w:rPr>
    </w:lvl>
    <w:lvl w:ilvl="8" w:tplc="F108660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9410C51"/>
    <w:multiLevelType w:val="hybridMultilevel"/>
    <w:tmpl w:val="7CCAD9A2"/>
    <w:lvl w:ilvl="0" w:tplc="B0EA97D6">
      <w:start w:val="1"/>
      <w:numFmt w:val="bullet"/>
      <w:lvlText w:val="•"/>
      <w:lvlJc w:val="left"/>
      <w:pPr>
        <w:tabs>
          <w:tab w:val="num" w:pos="720"/>
        </w:tabs>
        <w:ind w:left="720" w:hanging="360"/>
      </w:pPr>
      <w:rPr>
        <w:rFonts w:ascii="Arial" w:hAnsi="Arial" w:hint="default"/>
      </w:rPr>
    </w:lvl>
    <w:lvl w:ilvl="1" w:tplc="59A0D844" w:tentative="1">
      <w:start w:val="1"/>
      <w:numFmt w:val="bullet"/>
      <w:lvlText w:val="•"/>
      <w:lvlJc w:val="left"/>
      <w:pPr>
        <w:tabs>
          <w:tab w:val="num" w:pos="1440"/>
        </w:tabs>
        <w:ind w:left="1440" w:hanging="360"/>
      </w:pPr>
      <w:rPr>
        <w:rFonts w:ascii="Arial" w:hAnsi="Arial" w:hint="default"/>
      </w:rPr>
    </w:lvl>
    <w:lvl w:ilvl="2" w:tplc="26F84BC0" w:tentative="1">
      <w:start w:val="1"/>
      <w:numFmt w:val="bullet"/>
      <w:lvlText w:val="•"/>
      <w:lvlJc w:val="left"/>
      <w:pPr>
        <w:tabs>
          <w:tab w:val="num" w:pos="2160"/>
        </w:tabs>
        <w:ind w:left="2160" w:hanging="360"/>
      </w:pPr>
      <w:rPr>
        <w:rFonts w:ascii="Arial" w:hAnsi="Arial" w:hint="default"/>
      </w:rPr>
    </w:lvl>
    <w:lvl w:ilvl="3" w:tplc="656A0078" w:tentative="1">
      <w:start w:val="1"/>
      <w:numFmt w:val="bullet"/>
      <w:lvlText w:val="•"/>
      <w:lvlJc w:val="left"/>
      <w:pPr>
        <w:tabs>
          <w:tab w:val="num" w:pos="2880"/>
        </w:tabs>
        <w:ind w:left="2880" w:hanging="360"/>
      </w:pPr>
      <w:rPr>
        <w:rFonts w:ascii="Arial" w:hAnsi="Arial" w:hint="default"/>
      </w:rPr>
    </w:lvl>
    <w:lvl w:ilvl="4" w:tplc="4746A026" w:tentative="1">
      <w:start w:val="1"/>
      <w:numFmt w:val="bullet"/>
      <w:lvlText w:val="•"/>
      <w:lvlJc w:val="left"/>
      <w:pPr>
        <w:tabs>
          <w:tab w:val="num" w:pos="3600"/>
        </w:tabs>
        <w:ind w:left="3600" w:hanging="360"/>
      </w:pPr>
      <w:rPr>
        <w:rFonts w:ascii="Arial" w:hAnsi="Arial" w:hint="default"/>
      </w:rPr>
    </w:lvl>
    <w:lvl w:ilvl="5" w:tplc="7D78EC82" w:tentative="1">
      <w:start w:val="1"/>
      <w:numFmt w:val="bullet"/>
      <w:lvlText w:val="•"/>
      <w:lvlJc w:val="left"/>
      <w:pPr>
        <w:tabs>
          <w:tab w:val="num" w:pos="4320"/>
        </w:tabs>
        <w:ind w:left="4320" w:hanging="360"/>
      </w:pPr>
      <w:rPr>
        <w:rFonts w:ascii="Arial" w:hAnsi="Arial" w:hint="default"/>
      </w:rPr>
    </w:lvl>
    <w:lvl w:ilvl="6" w:tplc="E998EAC4" w:tentative="1">
      <w:start w:val="1"/>
      <w:numFmt w:val="bullet"/>
      <w:lvlText w:val="•"/>
      <w:lvlJc w:val="left"/>
      <w:pPr>
        <w:tabs>
          <w:tab w:val="num" w:pos="5040"/>
        </w:tabs>
        <w:ind w:left="5040" w:hanging="360"/>
      </w:pPr>
      <w:rPr>
        <w:rFonts w:ascii="Arial" w:hAnsi="Arial" w:hint="default"/>
      </w:rPr>
    </w:lvl>
    <w:lvl w:ilvl="7" w:tplc="17EC408E" w:tentative="1">
      <w:start w:val="1"/>
      <w:numFmt w:val="bullet"/>
      <w:lvlText w:val="•"/>
      <w:lvlJc w:val="left"/>
      <w:pPr>
        <w:tabs>
          <w:tab w:val="num" w:pos="5760"/>
        </w:tabs>
        <w:ind w:left="5760" w:hanging="360"/>
      </w:pPr>
      <w:rPr>
        <w:rFonts w:ascii="Arial" w:hAnsi="Arial" w:hint="default"/>
      </w:rPr>
    </w:lvl>
    <w:lvl w:ilvl="8" w:tplc="F47486A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1"/>
  </w:num>
  <w:num w:numId="3">
    <w:abstractNumId w:val="6"/>
  </w:num>
  <w:num w:numId="4">
    <w:abstractNumId w:val="13"/>
  </w:num>
  <w:num w:numId="5">
    <w:abstractNumId w:val="12"/>
  </w:num>
  <w:num w:numId="6">
    <w:abstractNumId w:val="10"/>
  </w:num>
  <w:num w:numId="7">
    <w:abstractNumId w:val="8"/>
  </w:num>
  <w:num w:numId="8">
    <w:abstractNumId w:val="7"/>
  </w:num>
  <w:num w:numId="9">
    <w:abstractNumId w:val="1"/>
  </w:num>
  <w:num w:numId="10">
    <w:abstractNumId w:val="4"/>
  </w:num>
  <w:num w:numId="11">
    <w:abstractNumId w:val="2"/>
  </w:num>
  <w:num w:numId="12">
    <w:abstractNumId w:val="9"/>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D33"/>
    <w:rsid w:val="00142AA4"/>
    <w:rsid w:val="001B470F"/>
    <w:rsid w:val="001B7C4C"/>
    <w:rsid w:val="00347C00"/>
    <w:rsid w:val="00614CD2"/>
    <w:rsid w:val="006913B8"/>
    <w:rsid w:val="008E5415"/>
    <w:rsid w:val="00A01A04"/>
    <w:rsid w:val="00A32E3D"/>
    <w:rsid w:val="00A94183"/>
    <w:rsid w:val="00AF5BB0"/>
    <w:rsid w:val="00B04D33"/>
    <w:rsid w:val="00B7344E"/>
    <w:rsid w:val="00D36918"/>
    <w:rsid w:val="00F052F9"/>
    <w:rsid w:val="00F14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E272F21-F12B-4F09-B6AF-7099A80B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4D33"/>
    <w:rPr>
      <w:color w:val="0000FF" w:themeColor="hyperlink"/>
      <w:u w:val="single"/>
    </w:rPr>
  </w:style>
  <w:style w:type="table" w:styleId="LightGrid-Accent1">
    <w:name w:val="Light Grid Accent 1"/>
    <w:basedOn w:val="TableNormal"/>
    <w:uiPriority w:val="62"/>
    <w:rsid w:val="00B04D3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347C00"/>
    <w:pPr>
      <w:ind w:left="720"/>
      <w:contextualSpacing/>
    </w:pPr>
  </w:style>
  <w:style w:type="paragraph" w:styleId="Title">
    <w:name w:val="Title"/>
    <w:basedOn w:val="Normal"/>
    <w:next w:val="Normal"/>
    <w:link w:val="TitleChar"/>
    <w:uiPriority w:val="10"/>
    <w:qFormat/>
    <w:rsid w:val="00347C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47C00"/>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347C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7C00"/>
  </w:style>
  <w:style w:type="paragraph" w:styleId="Footer">
    <w:name w:val="footer"/>
    <w:basedOn w:val="Normal"/>
    <w:link w:val="FooterChar"/>
    <w:uiPriority w:val="99"/>
    <w:unhideWhenUsed/>
    <w:rsid w:val="00347C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7C00"/>
  </w:style>
  <w:style w:type="paragraph" w:styleId="BalloonText">
    <w:name w:val="Balloon Text"/>
    <w:basedOn w:val="Normal"/>
    <w:link w:val="BalloonTextChar"/>
    <w:uiPriority w:val="99"/>
    <w:semiHidden/>
    <w:unhideWhenUsed/>
    <w:rsid w:val="00347C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C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42034">
      <w:bodyDiv w:val="1"/>
      <w:marLeft w:val="0"/>
      <w:marRight w:val="0"/>
      <w:marTop w:val="0"/>
      <w:marBottom w:val="0"/>
      <w:divBdr>
        <w:top w:val="none" w:sz="0" w:space="0" w:color="auto"/>
        <w:left w:val="none" w:sz="0" w:space="0" w:color="auto"/>
        <w:bottom w:val="none" w:sz="0" w:space="0" w:color="auto"/>
        <w:right w:val="none" w:sz="0" w:space="0" w:color="auto"/>
      </w:divBdr>
      <w:divsChild>
        <w:div w:id="861822989">
          <w:marLeft w:val="446"/>
          <w:marRight w:val="0"/>
          <w:marTop w:val="0"/>
          <w:marBottom w:val="0"/>
          <w:divBdr>
            <w:top w:val="none" w:sz="0" w:space="0" w:color="auto"/>
            <w:left w:val="none" w:sz="0" w:space="0" w:color="auto"/>
            <w:bottom w:val="none" w:sz="0" w:space="0" w:color="auto"/>
            <w:right w:val="none" w:sz="0" w:space="0" w:color="auto"/>
          </w:divBdr>
        </w:div>
        <w:div w:id="1570119258">
          <w:marLeft w:val="446"/>
          <w:marRight w:val="0"/>
          <w:marTop w:val="0"/>
          <w:marBottom w:val="0"/>
          <w:divBdr>
            <w:top w:val="none" w:sz="0" w:space="0" w:color="auto"/>
            <w:left w:val="none" w:sz="0" w:space="0" w:color="auto"/>
            <w:bottom w:val="none" w:sz="0" w:space="0" w:color="auto"/>
            <w:right w:val="none" w:sz="0" w:space="0" w:color="auto"/>
          </w:divBdr>
        </w:div>
        <w:div w:id="168108792">
          <w:marLeft w:val="446"/>
          <w:marRight w:val="0"/>
          <w:marTop w:val="0"/>
          <w:marBottom w:val="0"/>
          <w:divBdr>
            <w:top w:val="none" w:sz="0" w:space="0" w:color="auto"/>
            <w:left w:val="none" w:sz="0" w:space="0" w:color="auto"/>
            <w:bottom w:val="none" w:sz="0" w:space="0" w:color="auto"/>
            <w:right w:val="none" w:sz="0" w:space="0" w:color="auto"/>
          </w:divBdr>
        </w:div>
        <w:div w:id="1757823294">
          <w:marLeft w:val="446"/>
          <w:marRight w:val="0"/>
          <w:marTop w:val="0"/>
          <w:marBottom w:val="0"/>
          <w:divBdr>
            <w:top w:val="none" w:sz="0" w:space="0" w:color="auto"/>
            <w:left w:val="none" w:sz="0" w:space="0" w:color="auto"/>
            <w:bottom w:val="none" w:sz="0" w:space="0" w:color="auto"/>
            <w:right w:val="none" w:sz="0" w:space="0" w:color="auto"/>
          </w:divBdr>
        </w:div>
        <w:div w:id="1606571531">
          <w:marLeft w:val="446"/>
          <w:marRight w:val="0"/>
          <w:marTop w:val="0"/>
          <w:marBottom w:val="0"/>
          <w:divBdr>
            <w:top w:val="none" w:sz="0" w:space="0" w:color="auto"/>
            <w:left w:val="none" w:sz="0" w:space="0" w:color="auto"/>
            <w:bottom w:val="none" w:sz="0" w:space="0" w:color="auto"/>
            <w:right w:val="none" w:sz="0" w:space="0" w:color="auto"/>
          </w:divBdr>
        </w:div>
        <w:div w:id="648510750">
          <w:marLeft w:val="446"/>
          <w:marRight w:val="0"/>
          <w:marTop w:val="0"/>
          <w:marBottom w:val="0"/>
          <w:divBdr>
            <w:top w:val="none" w:sz="0" w:space="0" w:color="auto"/>
            <w:left w:val="none" w:sz="0" w:space="0" w:color="auto"/>
            <w:bottom w:val="none" w:sz="0" w:space="0" w:color="auto"/>
            <w:right w:val="none" w:sz="0" w:space="0" w:color="auto"/>
          </w:divBdr>
        </w:div>
        <w:div w:id="706492898">
          <w:marLeft w:val="446"/>
          <w:marRight w:val="0"/>
          <w:marTop w:val="0"/>
          <w:marBottom w:val="0"/>
          <w:divBdr>
            <w:top w:val="none" w:sz="0" w:space="0" w:color="auto"/>
            <w:left w:val="none" w:sz="0" w:space="0" w:color="auto"/>
            <w:bottom w:val="none" w:sz="0" w:space="0" w:color="auto"/>
            <w:right w:val="none" w:sz="0" w:space="0" w:color="auto"/>
          </w:divBdr>
        </w:div>
        <w:div w:id="961155050">
          <w:marLeft w:val="446"/>
          <w:marRight w:val="0"/>
          <w:marTop w:val="0"/>
          <w:marBottom w:val="0"/>
          <w:divBdr>
            <w:top w:val="none" w:sz="0" w:space="0" w:color="auto"/>
            <w:left w:val="none" w:sz="0" w:space="0" w:color="auto"/>
            <w:bottom w:val="none" w:sz="0" w:space="0" w:color="auto"/>
            <w:right w:val="none" w:sz="0" w:space="0" w:color="auto"/>
          </w:divBdr>
        </w:div>
      </w:divsChild>
    </w:div>
    <w:div w:id="341397252">
      <w:bodyDiv w:val="1"/>
      <w:marLeft w:val="0"/>
      <w:marRight w:val="0"/>
      <w:marTop w:val="0"/>
      <w:marBottom w:val="0"/>
      <w:divBdr>
        <w:top w:val="none" w:sz="0" w:space="0" w:color="auto"/>
        <w:left w:val="none" w:sz="0" w:space="0" w:color="auto"/>
        <w:bottom w:val="none" w:sz="0" w:space="0" w:color="auto"/>
        <w:right w:val="none" w:sz="0" w:space="0" w:color="auto"/>
      </w:divBdr>
      <w:divsChild>
        <w:div w:id="1167088897">
          <w:marLeft w:val="446"/>
          <w:marRight w:val="0"/>
          <w:marTop w:val="0"/>
          <w:marBottom w:val="0"/>
          <w:divBdr>
            <w:top w:val="none" w:sz="0" w:space="0" w:color="auto"/>
            <w:left w:val="none" w:sz="0" w:space="0" w:color="auto"/>
            <w:bottom w:val="none" w:sz="0" w:space="0" w:color="auto"/>
            <w:right w:val="none" w:sz="0" w:space="0" w:color="auto"/>
          </w:divBdr>
        </w:div>
      </w:divsChild>
    </w:div>
    <w:div w:id="583615588">
      <w:bodyDiv w:val="1"/>
      <w:marLeft w:val="0"/>
      <w:marRight w:val="0"/>
      <w:marTop w:val="0"/>
      <w:marBottom w:val="0"/>
      <w:divBdr>
        <w:top w:val="none" w:sz="0" w:space="0" w:color="auto"/>
        <w:left w:val="none" w:sz="0" w:space="0" w:color="auto"/>
        <w:bottom w:val="none" w:sz="0" w:space="0" w:color="auto"/>
        <w:right w:val="none" w:sz="0" w:space="0" w:color="auto"/>
      </w:divBdr>
      <w:divsChild>
        <w:div w:id="1033384503">
          <w:marLeft w:val="446"/>
          <w:marRight w:val="0"/>
          <w:marTop w:val="0"/>
          <w:marBottom w:val="0"/>
          <w:divBdr>
            <w:top w:val="none" w:sz="0" w:space="0" w:color="auto"/>
            <w:left w:val="none" w:sz="0" w:space="0" w:color="auto"/>
            <w:bottom w:val="none" w:sz="0" w:space="0" w:color="auto"/>
            <w:right w:val="none" w:sz="0" w:space="0" w:color="auto"/>
          </w:divBdr>
        </w:div>
        <w:div w:id="488135154">
          <w:marLeft w:val="446"/>
          <w:marRight w:val="0"/>
          <w:marTop w:val="0"/>
          <w:marBottom w:val="0"/>
          <w:divBdr>
            <w:top w:val="none" w:sz="0" w:space="0" w:color="auto"/>
            <w:left w:val="none" w:sz="0" w:space="0" w:color="auto"/>
            <w:bottom w:val="none" w:sz="0" w:space="0" w:color="auto"/>
            <w:right w:val="none" w:sz="0" w:space="0" w:color="auto"/>
          </w:divBdr>
        </w:div>
        <w:div w:id="1415933113">
          <w:marLeft w:val="446"/>
          <w:marRight w:val="0"/>
          <w:marTop w:val="0"/>
          <w:marBottom w:val="0"/>
          <w:divBdr>
            <w:top w:val="none" w:sz="0" w:space="0" w:color="auto"/>
            <w:left w:val="none" w:sz="0" w:space="0" w:color="auto"/>
            <w:bottom w:val="none" w:sz="0" w:space="0" w:color="auto"/>
            <w:right w:val="none" w:sz="0" w:space="0" w:color="auto"/>
          </w:divBdr>
        </w:div>
      </w:divsChild>
    </w:div>
    <w:div w:id="667564691">
      <w:bodyDiv w:val="1"/>
      <w:marLeft w:val="0"/>
      <w:marRight w:val="0"/>
      <w:marTop w:val="0"/>
      <w:marBottom w:val="0"/>
      <w:divBdr>
        <w:top w:val="none" w:sz="0" w:space="0" w:color="auto"/>
        <w:left w:val="none" w:sz="0" w:space="0" w:color="auto"/>
        <w:bottom w:val="none" w:sz="0" w:space="0" w:color="auto"/>
        <w:right w:val="none" w:sz="0" w:space="0" w:color="auto"/>
      </w:divBdr>
      <w:divsChild>
        <w:div w:id="1897011785">
          <w:marLeft w:val="547"/>
          <w:marRight w:val="0"/>
          <w:marTop w:val="120"/>
          <w:marBottom w:val="120"/>
          <w:divBdr>
            <w:top w:val="none" w:sz="0" w:space="0" w:color="auto"/>
            <w:left w:val="none" w:sz="0" w:space="0" w:color="auto"/>
            <w:bottom w:val="none" w:sz="0" w:space="0" w:color="auto"/>
            <w:right w:val="none" w:sz="0" w:space="0" w:color="auto"/>
          </w:divBdr>
        </w:div>
        <w:div w:id="1235582671">
          <w:marLeft w:val="547"/>
          <w:marRight w:val="0"/>
          <w:marTop w:val="120"/>
          <w:marBottom w:val="120"/>
          <w:divBdr>
            <w:top w:val="none" w:sz="0" w:space="0" w:color="auto"/>
            <w:left w:val="none" w:sz="0" w:space="0" w:color="auto"/>
            <w:bottom w:val="none" w:sz="0" w:space="0" w:color="auto"/>
            <w:right w:val="none" w:sz="0" w:space="0" w:color="auto"/>
          </w:divBdr>
        </w:div>
        <w:div w:id="1521816057">
          <w:marLeft w:val="1166"/>
          <w:marRight w:val="0"/>
          <w:marTop w:val="120"/>
          <w:marBottom w:val="120"/>
          <w:divBdr>
            <w:top w:val="none" w:sz="0" w:space="0" w:color="auto"/>
            <w:left w:val="none" w:sz="0" w:space="0" w:color="auto"/>
            <w:bottom w:val="none" w:sz="0" w:space="0" w:color="auto"/>
            <w:right w:val="none" w:sz="0" w:space="0" w:color="auto"/>
          </w:divBdr>
        </w:div>
        <w:div w:id="321811139">
          <w:marLeft w:val="1166"/>
          <w:marRight w:val="0"/>
          <w:marTop w:val="120"/>
          <w:marBottom w:val="120"/>
          <w:divBdr>
            <w:top w:val="none" w:sz="0" w:space="0" w:color="auto"/>
            <w:left w:val="none" w:sz="0" w:space="0" w:color="auto"/>
            <w:bottom w:val="none" w:sz="0" w:space="0" w:color="auto"/>
            <w:right w:val="none" w:sz="0" w:space="0" w:color="auto"/>
          </w:divBdr>
        </w:div>
        <w:div w:id="1322468503">
          <w:marLeft w:val="1166"/>
          <w:marRight w:val="0"/>
          <w:marTop w:val="120"/>
          <w:marBottom w:val="120"/>
          <w:divBdr>
            <w:top w:val="none" w:sz="0" w:space="0" w:color="auto"/>
            <w:left w:val="none" w:sz="0" w:space="0" w:color="auto"/>
            <w:bottom w:val="none" w:sz="0" w:space="0" w:color="auto"/>
            <w:right w:val="none" w:sz="0" w:space="0" w:color="auto"/>
          </w:divBdr>
        </w:div>
        <w:div w:id="554387453">
          <w:marLeft w:val="547"/>
          <w:marRight w:val="0"/>
          <w:marTop w:val="120"/>
          <w:marBottom w:val="120"/>
          <w:divBdr>
            <w:top w:val="none" w:sz="0" w:space="0" w:color="auto"/>
            <w:left w:val="none" w:sz="0" w:space="0" w:color="auto"/>
            <w:bottom w:val="none" w:sz="0" w:space="0" w:color="auto"/>
            <w:right w:val="none" w:sz="0" w:space="0" w:color="auto"/>
          </w:divBdr>
        </w:div>
        <w:div w:id="610893332">
          <w:marLeft w:val="1166"/>
          <w:marRight w:val="0"/>
          <w:marTop w:val="120"/>
          <w:marBottom w:val="120"/>
          <w:divBdr>
            <w:top w:val="none" w:sz="0" w:space="0" w:color="auto"/>
            <w:left w:val="none" w:sz="0" w:space="0" w:color="auto"/>
            <w:bottom w:val="none" w:sz="0" w:space="0" w:color="auto"/>
            <w:right w:val="none" w:sz="0" w:space="0" w:color="auto"/>
          </w:divBdr>
        </w:div>
        <w:div w:id="575868053">
          <w:marLeft w:val="547"/>
          <w:marRight w:val="0"/>
          <w:marTop w:val="120"/>
          <w:marBottom w:val="120"/>
          <w:divBdr>
            <w:top w:val="none" w:sz="0" w:space="0" w:color="auto"/>
            <w:left w:val="none" w:sz="0" w:space="0" w:color="auto"/>
            <w:bottom w:val="none" w:sz="0" w:space="0" w:color="auto"/>
            <w:right w:val="none" w:sz="0" w:space="0" w:color="auto"/>
          </w:divBdr>
        </w:div>
        <w:div w:id="910578648">
          <w:marLeft w:val="547"/>
          <w:marRight w:val="0"/>
          <w:marTop w:val="120"/>
          <w:marBottom w:val="120"/>
          <w:divBdr>
            <w:top w:val="none" w:sz="0" w:space="0" w:color="auto"/>
            <w:left w:val="none" w:sz="0" w:space="0" w:color="auto"/>
            <w:bottom w:val="none" w:sz="0" w:space="0" w:color="auto"/>
            <w:right w:val="none" w:sz="0" w:space="0" w:color="auto"/>
          </w:divBdr>
        </w:div>
      </w:divsChild>
    </w:div>
    <w:div w:id="938102163">
      <w:bodyDiv w:val="1"/>
      <w:marLeft w:val="0"/>
      <w:marRight w:val="0"/>
      <w:marTop w:val="0"/>
      <w:marBottom w:val="0"/>
      <w:divBdr>
        <w:top w:val="none" w:sz="0" w:space="0" w:color="auto"/>
        <w:left w:val="none" w:sz="0" w:space="0" w:color="auto"/>
        <w:bottom w:val="none" w:sz="0" w:space="0" w:color="auto"/>
        <w:right w:val="none" w:sz="0" w:space="0" w:color="auto"/>
      </w:divBdr>
      <w:divsChild>
        <w:div w:id="257636397">
          <w:marLeft w:val="446"/>
          <w:marRight w:val="0"/>
          <w:marTop w:val="0"/>
          <w:marBottom w:val="0"/>
          <w:divBdr>
            <w:top w:val="none" w:sz="0" w:space="0" w:color="auto"/>
            <w:left w:val="none" w:sz="0" w:space="0" w:color="auto"/>
            <w:bottom w:val="none" w:sz="0" w:space="0" w:color="auto"/>
            <w:right w:val="none" w:sz="0" w:space="0" w:color="auto"/>
          </w:divBdr>
        </w:div>
        <w:div w:id="1807314244">
          <w:marLeft w:val="446"/>
          <w:marRight w:val="0"/>
          <w:marTop w:val="0"/>
          <w:marBottom w:val="0"/>
          <w:divBdr>
            <w:top w:val="none" w:sz="0" w:space="0" w:color="auto"/>
            <w:left w:val="none" w:sz="0" w:space="0" w:color="auto"/>
            <w:bottom w:val="none" w:sz="0" w:space="0" w:color="auto"/>
            <w:right w:val="none" w:sz="0" w:space="0" w:color="auto"/>
          </w:divBdr>
        </w:div>
        <w:div w:id="998464288">
          <w:marLeft w:val="446"/>
          <w:marRight w:val="0"/>
          <w:marTop w:val="0"/>
          <w:marBottom w:val="0"/>
          <w:divBdr>
            <w:top w:val="none" w:sz="0" w:space="0" w:color="auto"/>
            <w:left w:val="none" w:sz="0" w:space="0" w:color="auto"/>
            <w:bottom w:val="none" w:sz="0" w:space="0" w:color="auto"/>
            <w:right w:val="none" w:sz="0" w:space="0" w:color="auto"/>
          </w:divBdr>
        </w:div>
        <w:div w:id="394814086">
          <w:marLeft w:val="446"/>
          <w:marRight w:val="0"/>
          <w:marTop w:val="0"/>
          <w:marBottom w:val="0"/>
          <w:divBdr>
            <w:top w:val="none" w:sz="0" w:space="0" w:color="auto"/>
            <w:left w:val="none" w:sz="0" w:space="0" w:color="auto"/>
            <w:bottom w:val="none" w:sz="0" w:space="0" w:color="auto"/>
            <w:right w:val="none" w:sz="0" w:space="0" w:color="auto"/>
          </w:divBdr>
        </w:div>
        <w:div w:id="1919441922">
          <w:marLeft w:val="446"/>
          <w:marRight w:val="0"/>
          <w:marTop w:val="0"/>
          <w:marBottom w:val="0"/>
          <w:divBdr>
            <w:top w:val="none" w:sz="0" w:space="0" w:color="auto"/>
            <w:left w:val="none" w:sz="0" w:space="0" w:color="auto"/>
            <w:bottom w:val="none" w:sz="0" w:space="0" w:color="auto"/>
            <w:right w:val="none" w:sz="0" w:space="0" w:color="auto"/>
          </w:divBdr>
        </w:div>
        <w:div w:id="46147490">
          <w:marLeft w:val="446"/>
          <w:marRight w:val="0"/>
          <w:marTop w:val="0"/>
          <w:marBottom w:val="0"/>
          <w:divBdr>
            <w:top w:val="none" w:sz="0" w:space="0" w:color="auto"/>
            <w:left w:val="none" w:sz="0" w:space="0" w:color="auto"/>
            <w:bottom w:val="none" w:sz="0" w:space="0" w:color="auto"/>
            <w:right w:val="none" w:sz="0" w:space="0" w:color="auto"/>
          </w:divBdr>
        </w:div>
      </w:divsChild>
    </w:div>
    <w:div w:id="1668361860">
      <w:bodyDiv w:val="1"/>
      <w:marLeft w:val="0"/>
      <w:marRight w:val="0"/>
      <w:marTop w:val="0"/>
      <w:marBottom w:val="0"/>
      <w:divBdr>
        <w:top w:val="none" w:sz="0" w:space="0" w:color="auto"/>
        <w:left w:val="none" w:sz="0" w:space="0" w:color="auto"/>
        <w:bottom w:val="none" w:sz="0" w:space="0" w:color="auto"/>
        <w:right w:val="none" w:sz="0" w:space="0" w:color="auto"/>
      </w:divBdr>
      <w:divsChild>
        <w:div w:id="449281391">
          <w:marLeft w:val="446"/>
          <w:marRight w:val="0"/>
          <w:marTop w:val="0"/>
          <w:marBottom w:val="0"/>
          <w:divBdr>
            <w:top w:val="none" w:sz="0" w:space="0" w:color="auto"/>
            <w:left w:val="none" w:sz="0" w:space="0" w:color="auto"/>
            <w:bottom w:val="none" w:sz="0" w:space="0" w:color="auto"/>
            <w:right w:val="none" w:sz="0" w:space="0" w:color="auto"/>
          </w:divBdr>
        </w:div>
        <w:div w:id="803624871">
          <w:marLeft w:val="446"/>
          <w:marRight w:val="0"/>
          <w:marTop w:val="0"/>
          <w:marBottom w:val="0"/>
          <w:divBdr>
            <w:top w:val="none" w:sz="0" w:space="0" w:color="auto"/>
            <w:left w:val="none" w:sz="0" w:space="0" w:color="auto"/>
            <w:bottom w:val="none" w:sz="0" w:space="0" w:color="auto"/>
            <w:right w:val="none" w:sz="0" w:space="0" w:color="auto"/>
          </w:divBdr>
        </w:div>
        <w:div w:id="928778436">
          <w:marLeft w:val="446"/>
          <w:marRight w:val="0"/>
          <w:marTop w:val="0"/>
          <w:marBottom w:val="0"/>
          <w:divBdr>
            <w:top w:val="none" w:sz="0" w:space="0" w:color="auto"/>
            <w:left w:val="none" w:sz="0" w:space="0" w:color="auto"/>
            <w:bottom w:val="none" w:sz="0" w:space="0" w:color="auto"/>
            <w:right w:val="none" w:sz="0" w:space="0" w:color="auto"/>
          </w:divBdr>
        </w:div>
        <w:div w:id="946352775">
          <w:marLeft w:val="446"/>
          <w:marRight w:val="0"/>
          <w:marTop w:val="0"/>
          <w:marBottom w:val="0"/>
          <w:divBdr>
            <w:top w:val="none" w:sz="0" w:space="0" w:color="auto"/>
            <w:left w:val="none" w:sz="0" w:space="0" w:color="auto"/>
            <w:bottom w:val="none" w:sz="0" w:space="0" w:color="auto"/>
            <w:right w:val="none" w:sz="0" w:space="0" w:color="auto"/>
          </w:divBdr>
        </w:div>
        <w:div w:id="605237152">
          <w:marLeft w:val="446"/>
          <w:marRight w:val="0"/>
          <w:marTop w:val="0"/>
          <w:marBottom w:val="0"/>
          <w:divBdr>
            <w:top w:val="none" w:sz="0" w:space="0" w:color="auto"/>
            <w:left w:val="none" w:sz="0" w:space="0" w:color="auto"/>
            <w:bottom w:val="none" w:sz="0" w:space="0" w:color="auto"/>
            <w:right w:val="none" w:sz="0" w:space="0" w:color="auto"/>
          </w:divBdr>
        </w:div>
        <w:div w:id="191386567">
          <w:marLeft w:val="446"/>
          <w:marRight w:val="0"/>
          <w:marTop w:val="0"/>
          <w:marBottom w:val="0"/>
          <w:divBdr>
            <w:top w:val="none" w:sz="0" w:space="0" w:color="auto"/>
            <w:left w:val="none" w:sz="0" w:space="0" w:color="auto"/>
            <w:bottom w:val="none" w:sz="0" w:space="0" w:color="auto"/>
            <w:right w:val="none" w:sz="0" w:space="0" w:color="auto"/>
          </w:divBdr>
        </w:div>
      </w:divsChild>
    </w:div>
    <w:div w:id="1896239773">
      <w:bodyDiv w:val="1"/>
      <w:marLeft w:val="0"/>
      <w:marRight w:val="0"/>
      <w:marTop w:val="0"/>
      <w:marBottom w:val="0"/>
      <w:divBdr>
        <w:top w:val="none" w:sz="0" w:space="0" w:color="auto"/>
        <w:left w:val="none" w:sz="0" w:space="0" w:color="auto"/>
        <w:bottom w:val="none" w:sz="0" w:space="0" w:color="auto"/>
        <w:right w:val="none" w:sz="0" w:space="0" w:color="auto"/>
      </w:divBdr>
      <w:divsChild>
        <w:div w:id="1353458726">
          <w:marLeft w:val="446"/>
          <w:marRight w:val="0"/>
          <w:marTop w:val="0"/>
          <w:marBottom w:val="0"/>
          <w:divBdr>
            <w:top w:val="none" w:sz="0" w:space="0" w:color="auto"/>
            <w:left w:val="none" w:sz="0" w:space="0" w:color="auto"/>
            <w:bottom w:val="none" w:sz="0" w:space="0" w:color="auto"/>
            <w:right w:val="none" w:sz="0" w:space="0" w:color="auto"/>
          </w:divBdr>
        </w:div>
        <w:div w:id="1103299771">
          <w:marLeft w:val="446"/>
          <w:marRight w:val="0"/>
          <w:marTop w:val="0"/>
          <w:marBottom w:val="0"/>
          <w:divBdr>
            <w:top w:val="none" w:sz="0" w:space="0" w:color="auto"/>
            <w:left w:val="none" w:sz="0" w:space="0" w:color="auto"/>
            <w:bottom w:val="none" w:sz="0" w:space="0" w:color="auto"/>
            <w:right w:val="none" w:sz="0" w:space="0" w:color="auto"/>
          </w:divBdr>
        </w:div>
        <w:div w:id="428894668">
          <w:marLeft w:val="446"/>
          <w:marRight w:val="0"/>
          <w:marTop w:val="0"/>
          <w:marBottom w:val="0"/>
          <w:divBdr>
            <w:top w:val="none" w:sz="0" w:space="0" w:color="auto"/>
            <w:left w:val="none" w:sz="0" w:space="0" w:color="auto"/>
            <w:bottom w:val="none" w:sz="0" w:space="0" w:color="auto"/>
            <w:right w:val="none" w:sz="0" w:space="0" w:color="auto"/>
          </w:divBdr>
        </w:div>
        <w:div w:id="1290209502">
          <w:marLeft w:val="446"/>
          <w:marRight w:val="0"/>
          <w:marTop w:val="0"/>
          <w:marBottom w:val="0"/>
          <w:divBdr>
            <w:top w:val="none" w:sz="0" w:space="0" w:color="auto"/>
            <w:left w:val="none" w:sz="0" w:space="0" w:color="auto"/>
            <w:bottom w:val="none" w:sz="0" w:space="0" w:color="auto"/>
            <w:right w:val="none" w:sz="0" w:space="0" w:color="auto"/>
          </w:divBdr>
        </w:div>
        <w:div w:id="439690118">
          <w:marLeft w:val="446"/>
          <w:marRight w:val="0"/>
          <w:marTop w:val="0"/>
          <w:marBottom w:val="0"/>
          <w:divBdr>
            <w:top w:val="none" w:sz="0" w:space="0" w:color="auto"/>
            <w:left w:val="none" w:sz="0" w:space="0" w:color="auto"/>
            <w:bottom w:val="none" w:sz="0" w:space="0" w:color="auto"/>
            <w:right w:val="none" w:sz="0" w:space="0" w:color="auto"/>
          </w:divBdr>
        </w:div>
        <w:div w:id="1747652807">
          <w:marLeft w:val="446"/>
          <w:marRight w:val="0"/>
          <w:marTop w:val="0"/>
          <w:marBottom w:val="0"/>
          <w:divBdr>
            <w:top w:val="none" w:sz="0" w:space="0" w:color="auto"/>
            <w:left w:val="none" w:sz="0" w:space="0" w:color="auto"/>
            <w:bottom w:val="none" w:sz="0" w:space="0" w:color="auto"/>
            <w:right w:val="none" w:sz="0" w:space="0" w:color="auto"/>
          </w:divBdr>
        </w:div>
        <w:div w:id="1700348371">
          <w:marLeft w:val="446"/>
          <w:marRight w:val="0"/>
          <w:marTop w:val="0"/>
          <w:marBottom w:val="0"/>
          <w:divBdr>
            <w:top w:val="none" w:sz="0" w:space="0" w:color="auto"/>
            <w:left w:val="none" w:sz="0" w:space="0" w:color="auto"/>
            <w:bottom w:val="none" w:sz="0" w:space="0" w:color="auto"/>
            <w:right w:val="none" w:sz="0" w:space="0" w:color="auto"/>
          </w:divBdr>
        </w:div>
        <w:div w:id="59470357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S_FEPS@cms.hhs.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A191C-A151-4E6C-BC8A-3862FF059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PEUGH</dc:creator>
  <cp:lastModifiedBy>Glenn, Sean</cp:lastModifiedBy>
  <cp:revision>4</cp:revision>
  <dcterms:created xsi:type="dcterms:W3CDTF">2016-03-17T17:41:00Z</dcterms:created>
  <dcterms:modified xsi:type="dcterms:W3CDTF">2016-03-28T16:53:00Z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